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DA56" w14:textId="77777777" w:rsidR="00A11759" w:rsidRPr="00A11759" w:rsidRDefault="00A11759" w:rsidP="00A11759">
      <w:pPr>
        <w:widowControl w:val="0"/>
        <w:autoSpaceDE w:val="0"/>
        <w:autoSpaceDN w:val="0"/>
        <w:spacing w:before="82" w:after="0" w:line="240" w:lineRule="auto"/>
        <w:ind w:left="3616" w:right="3794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 w:bidi="en-US"/>
        </w:rPr>
      </w:pPr>
      <w:bookmarkStart w:id="0" w:name="_GoBack"/>
      <w:bookmarkEnd w:id="0"/>
      <w:r w:rsidRPr="00A11759">
        <w:rPr>
          <w:rFonts w:ascii="Arial" w:eastAsia="Arial" w:hAnsi="Arial" w:cs="Arial"/>
          <w:b/>
          <w:bCs/>
          <w:sz w:val="20"/>
          <w:szCs w:val="20"/>
          <w:lang w:val="en-US" w:bidi="en-US"/>
        </w:rPr>
        <w:t>CURRICULUM VITAE</w:t>
      </w:r>
    </w:p>
    <w:p w14:paraId="2197C905" w14:textId="77777777" w:rsidR="00A11759" w:rsidRPr="00A11759" w:rsidRDefault="00A11759" w:rsidP="00A117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val="en-US" w:bidi="en-US"/>
        </w:rPr>
      </w:pPr>
    </w:p>
    <w:p w14:paraId="57078BFF" w14:textId="77777777" w:rsidR="00A11759" w:rsidRPr="00A11759" w:rsidRDefault="00A11759" w:rsidP="00167CC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val="en-US" w:bidi="en-US"/>
        </w:rPr>
      </w:pPr>
    </w:p>
    <w:tbl>
      <w:tblPr>
        <w:tblpPr w:leftFromText="180" w:rightFromText="180" w:vertAnchor="text" w:horzAnchor="page" w:tblpX="2776" w:tblpY="145"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000" w:firstRow="0" w:lastRow="0" w:firstColumn="0" w:lastColumn="0" w:noHBand="0" w:noVBand="0"/>
      </w:tblPr>
      <w:tblGrid>
        <w:gridCol w:w="2436"/>
      </w:tblGrid>
      <w:tr w:rsidR="00A11759" w:rsidRPr="00A11759" w14:paraId="7689884F" w14:textId="77777777" w:rsidTr="00D33B88">
        <w:trPr>
          <w:trHeight w:val="2520"/>
        </w:trPr>
        <w:tc>
          <w:tcPr>
            <w:tcW w:w="2115" w:type="dxa"/>
            <w:vAlign w:val="center"/>
          </w:tcPr>
          <w:p w14:paraId="61F1063F" w14:textId="24DAA510" w:rsidR="00A11759" w:rsidRPr="00A11759" w:rsidRDefault="00167CC5" w:rsidP="00167CC5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 wp14:anchorId="18C5D438" wp14:editId="3C134755">
                  <wp:extent cx="1400175" cy="196024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622FC" w14:textId="60CFD678" w:rsidR="00A11759" w:rsidRDefault="00D33B88" w:rsidP="00167CC5">
      <w:pPr>
        <w:widowControl w:val="0"/>
        <w:autoSpaceDE w:val="0"/>
        <w:autoSpaceDN w:val="0"/>
        <w:spacing w:after="0" w:line="229" w:lineRule="exact"/>
        <w:ind w:left="720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Name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 xml:space="preserve">: Professor Ts Dr </w:t>
      </w:r>
      <w:proofErr w:type="spellStart"/>
      <w:r w:rsidR="00167CC5">
        <w:rPr>
          <w:rFonts w:ascii="Arial" w:eastAsia="Arial" w:hAnsi="Arial" w:cs="Arial"/>
          <w:sz w:val="20"/>
          <w:szCs w:val="20"/>
          <w:lang w:val="en-US" w:bidi="en-US"/>
        </w:rPr>
        <w:t>Azrina</w:t>
      </w:r>
      <w:proofErr w:type="spellEnd"/>
      <w:r w:rsidR="00167CC5">
        <w:rPr>
          <w:rFonts w:ascii="Arial" w:eastAsia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167CC5">
        <w:rPr>
          <w:rFonts w:ascii="Arial" w:eastAsia="Arial" w:hAnsi="Arial" w:cs="Arial"/>
          <w:sz w:val="20"/>
          <w:szCs w:val="20"/>
          <w:lang w:val="en-US" w:bidi="en-US"/>
        </w:rPr>
        <w:t>Azlan</w:t>
      </w:r>
      <w:proofErr w:type="spellEnd"/>
    </w:p>
    <w:p w14:paraId="64FD50C6" w14:textId="089342EC" w:rsidR="00D33B88" w:rsidRPr="00A11759" w:rsidRDefault="00D33B88" w:rsidP="00167CC5">
      <w:pPr>
        <w:widowControl w:val="0"/>
        <w:autoSpaceDE w:val="0"/>
        <w:autoSpaceDN w:val="0"/>
        <w:spacing w:after="0" w:line="229" w:lineRule="exact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Position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>: Professor</w:t>
      </w:r>
    </w:p>
    <w:p w14:paraId="7298DFEE" w14:textId="5FE66FD3" w:rsidR="00A11759" w:rsidRPr="00A11759" w:rsidRDefault="00D33B88" w:rsidP="00167CC5">
      <w:pPr>
        <w:widowControl w:val="0"/>
        <w:autoSpaceDE w:val="0"/>
        <w:autoSpaceDN w:val="0"/>
        <w:spacing w:after="0" w:line="240" w:lineRule="auto"/>
        <w:ind w:right="2436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Department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>: Nutrition</w:t>
      </w:r>
    </w:p>
    <w:p w14:paraId="6DD3AB1D" w14:textId="6478974D" w:rsidR="00A11759" w:rsidRPr="00A11759" w:rsidRDefault="00D33B88" w:rsidP="00167CC5">
      <w:pPr>
        <w:widowControl w:val="0"/>
        <w:autoSpaceDE w:val="0"/>
        <w:autoSpaceDN w:val="0"/>
        <w:spacing w:after="0" w:line="240" w:lineRule="auto"/>
        <w:ind w:right="-48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Faculty of Medicine and Health Sciences</w:t>
      </w:r>
    </w:p>
    <w:p w14:paraId="6C5868E6" w14:textId="46B77F50" w:rsidR="00A11759" w:rsidRPr="00A11759" w:rsidRDefault="00D33B88" w:rsidP="00167CC5">
      <w:pPr>
        <w:widowControl w:val="0"/>
        <w:autoSpaceDE w:val="0"/>
        <w:autoSpaceDN w:val="0"/>
        <w:spacing w:after="0" w:line="240" w:lineRule="auto"/>
        <w:ind w:left="1440" w:right="3114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  </w:t>
      </w:r>
      <w:proofErr w:type="spellStart"/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Universiti</w:t>
      </w:r>
      <w:proofErr w:type="spellEnd"/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 xml:space="preserve"> Putra Malaysia </w:t>
      </w: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43400 UPM Serdang, Selangor</w:t>
      </w:r>
    </w:p>
    <w:p w14:paraId="16BD3904" w14:textId="77777777" w:rsidR="00A11759" w:rsidRPr="00A11759" w:rsidRDefault="00A11759" w:rsidP="00167CC5">
      <w:pPr>
        <w:widowControl w:val="0"/>
        <w:autoSpaceDE w:val="0"/>
        <w:autoSpaceDN w:val="0"/>
        <w:spacing w:before="1" w:after="0" w:line="240" w:lineRule="auto"/>
        <w:ind w:left="4678"/>
        <w:rPr>
          <w:rFonts w:ascii="Arial" w:eastAsia="Arial" w:hAnsi="Arial" w:cs="Arial"/>
          <w:sz w:val="20"/>
          <w:szCs w:val="20"/>
          <w:lang w:val="en-US" w:bidi="en-US"/>
        </w:rPr>
      </w:pPr>
    </w:p>
    <w:p w14:paraId="744112DC" w14:textId="1F5D6D9B" w:rsidR="00A11759" w:rsidRPr="00A11759" w:rsidRDefault="00D33B88" w:rsidP="00167CC5">
      <w:pPr>
        <w:widowControl w:val="0"/>
        <w:autoSpaceDE w:val="0"/>
        <w:autoSpaceDN w:val="0"/>
        <w:spacing w:after="0" w:line="229" w:lineRule="exact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T: 03-</w:t>
      </w:r>
      <w:r w:rsidR="00955B9A">
        <w:rPr>
          <w:rFonts w:ascii="Arial" w:eastAsia="Arial" w:hAnsi="Arial" w:cs="Arial"/>
          <w:sz w:val="20"/>
          <w:szCs w:val="20"/>
          <w:lang w:val="en-US" w:bidi="en-US"/>
        </w:rPr>
        <w:t>9769</w:t>
      </w:r>
      <w:r w:rsidR="00A11759" w:rsidRPr="00A11759">
        <w:rPr>
          <w:rFonts w:ascii="Arial" w:eastAsia="Arial" w:hAnsi="Arial" w:cs="Arial"/>
          <w:spacing w:val="-7"/>
          <w:sz w:val="20"/>
          <w:szCs w:val="20"/>
          <w:lang w:val="en-US" w:bidi="en-US"/>
        </w:rPr>
        <w:t xml:space="preserve"> 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>2466</w:t>
      </w:r>
    </w:p>
    <w:p w14:paraId="7F7D7BE7" w14:textId="1235F140" w:rsidR="00A11759" w:rsidRPr="00A11759" w:rsidRDefault="00D33B88" w:rsidP="00167CC5">
      <w:pPr>
        <w:widowControl w:val="0"/>
        <w:autoSpaceDE w:val="0"/>
        <w:autoSpaceDN w:val="0"/>
        <w:spacing w:after="0" w:line="229" w:lineRule="exact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>F: 03-</w:t>
      </w:r>
      <w:r w:rsidR="00E96351">
        <w:rPr>
          <w:rFonts w:ascii="Arial" w:eastAsia="Arial" w:hAnsi="Arial" w:cs="Arial"/>
          <w:sz w:val="20"/>
          <w:szCs w:val="20"/>
          <w:lang w:val="en-US" w:bidi="en-US"/>
        </w:rPr>
        <w:t>894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>2</w:t>
      </w:r>
      <w:r w:rsidR="00A11759" w:rsidRPr="00A11759">
        <w:rPr>
          <w:rFonts w:ascii="Arial" w:eastAsia="Arial" w:hAnsi="Arial" w:cs="Arial"/>
          <w:spacing w:val="-6"/>
          <w:sz w:val="20"/>
          <w:szCs w:val="20"/>
          <w:lang w:val="en-US" w:bidi="en-US"/>
        </w:rPr>
        <w:t xml:space="preserve"> 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>6769</w:t>
      </w:r>
    </w:p>
    <w:p w14:paraId="0C074209" w14:textId="496B76A6" w:rsidR="00A11759" w:rsidRDefault="00D33B88" w:rsidP="00167CC5">
      <w:pPr>
        <w:widowControl w:val="0"/>
        <w:autoSpaceDE w:val="0"/>
        <w:autoSpaceDN w:val="0"/>
        <w:spacing w:before="1" w:after="0" w:line="240" w:lineRule="auto"/>
        <w:ind w:right="3223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rFonts w:ascii="Arial" w:eastAsia="Arial" w:hAnsi="Arial" w:cs="Arial"/>
          <w:sz w:val="20"/>
          <w:szCs w:val="20"/>
          <w:lang w:val="en-US" w:bidi="en-US"/>
        </w:rPr>
        <w:t xml:space="preserve">                                  </w:t>
      </w:r>
      <w:r w:rsidR="00A11759" w:rsidRPr="00A11759">
        <w:rPr>
          <w:rFonts w:ascii="Arial" w:eastAsia="Arial" w:hAnsi="Arial" w:cs="Arial"/>
          <w:sz w:val="20"/>
          <w:szCs w:val="20"/>
          <w:lang w:val="en-US" w:bidi="en-US"/>
        </w:rPr>
        <w:t xml:space="preserve">Email: </w:t>
      </w:r>
      <w:r w:rsidR="00167CC5">
        <w:rPr>
          <w:rFonts w:ascii="Arial" w:eastAsia="Arial" w:hAnsi="Arial" w:cs="Arial"/>
          <w:sz w:val="20"/>
          <w:szCs w:val="20"/>
          <w:lang w:val="en-US" w:bidi="en-US"/>
        </w:rPr>
        <w:t>azrinaaz@upm.edu.my</w:t>
      </w:r>
    </w:p>
    <w:p w14:paraId="5BD916B7" w14:textId="50A2EFBD" w:rsidR="00D33B88" w:rsidRDefault="00D33B88" w:rsidP="00167CC5">
      <w:pPr>
        <w:widowControl w:val="0"/>
        <w:autoSpaceDE w:val="0"/>
        <w:autoSpaceDN w:val="0"/>
        <w:spacing w:before="1" w:after="0" w:line="240" w:lineRule="auto"/>
        <w:ind w:right="-16"/>
      </w:pPr>
      <w:r>
        <w:t xml:space="preserve">                                              ORCID: </w:t>
      </w:r>
      <w:r w:rsidR="00167CC5" w:rsidRPr="00167CC5">
        <w:t>orcid.org/0000-0002-5373-0985</w:t>
      </w:r>
    </w:p>
    <w:p w14:paraId="7E91229E" w14:textId="52AE1C05" w:rsidR="00D33B88" w:rsidRPr="00D33B88" w:rsidRDefault="00D33B88" w:rsidP="00167CC5">
      <w:pPr>
        <w:widowControl w:val="0"/>
        <w:autoSpaceDE w:val="0"/>
        <w:autoSpaceDN w:val="0"/>
        <w:spacing w:before="1" w:after="0" w:line="240" w:lineRule="auto"/>
        <w:ind w:right="-16"/>
      </w:pPr>
      <w:r>
        <w:t xml:space="preserve">                                                                                       SCOPUS ID:</w:t>
      </w:r>
      <w:r w:rsidR="00167CC5" w:rsidRPr="00167CC5">
        <w:t xml:space="preserve"> </w:t>
      </w:r>
      <w:r w:rsidR="00167CC5">
        <w:t xml:space="preserve"> </w:t>
      </w:r>
      <w:r w:rsidR="00167CC5" w:rsidRPr="00167CC5">
        <w:t>55903534200</w:t>
      </w:r>
    </w:p>
    <w:p w14:paraId="73D7168C" w14:textId="23BB2748" w:rsidR="00346B71" w:rsidRDefault="00346B71" w:rsidP="00167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4575"/>
        <w:gridCol w:w="3484"/>
      </w:tblGrid>
      <w:tr w:rsidR="00A11759" w14:paraId="3670B4A5" w14:textId="77777777" w:rsidTr="00A11759">
        <w:tc>
          <w:tcPr>
            <w:tcW w:w="10054" w:type="dxa"/>
            <w:gridSpan w:val="3"/>
            <w:tcBorders>
              <w:bottom w:val="nil"/>
            </w:tcBorders>
            <w:shd w:val="clear" w:color="auto" w:fill="C00000"/>
            <w:vAlign w:val="center"/>
          </w:tcPr>
          <w:p w14:paraId="45966A16" w14:textId="41ECFD3A" w:rsidR="00A11759" w:rsidRDefault="00A11759" w:rsidP="00A11759">
            <w:pPr>
              <w:jc w:val="center"/>
            </w:pPr>
            <w:r>
              <w:t>Education</w:t>
            </w:r>
          </w:p>
        </w:tc>
      </w:tr>
      <w:tr w:rsidR="00A11759" w14:paraId="4A244F6A" w14:textId="77777777" w:rsidTr="00A11759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EF1F0" w14:textId="691E7D11" w:rsidR="00A11759" w:rsidRDefault="00167CC5" w:rsidP="00167CC5">
            <w:pPr>
              <w:pStyle w:val="ListParagraph"/>
              <w:numPr>
                <w:ilvl w:val="0"/>
                <w:numId w:val="1"/>
              </w:numPr>
            </w:pPr>
            <w:r w:rsidRPr="00167CC5">
              <w:t xml:space="preserve">PhD, Nutritional Sciences, </w:t>
            </w:r>
            <w:proofErr w:type="spellStart"/>
            <w:r w:rsidRPr="00167CC5">
              <w:t>Universiti</w:t>
            </w:r>
            <w:proofErr w:type="spellEnd"/>
            <w:r w:rsidRPr="00167CC5">
              <w:t xml:space="preserve"> Putra Malaysia, 2005.</w:t>
            </w:r>
          </w:p>
        </w:tc>
      </w:tr>
      <w:tr w:rsidR="00A11759" w14:paraId="3063E2B1" w14:textId="77777777" w:rsidTr="00A11759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77D6E" w14:textId="3CAF4D28" w:rsidR="00A11759" w:rsidRDefault="00167CC5" w:rsidP="00167CC5">
            <w:pPr>
              <w:pStyle w:val="ListParagraph"/>
              <w:numPr>
                <w:ilvl w:val="0"/>
                <w:numId w:val="1"/>
              </w:numPr>
            </w:pPr>
            <w:r w:rsidRPr="00167CC5">
              <w:t xml:space="preserve">B. Sc, Food Science and Nutrition, </w:t>
            </w:r>
            <w:proofErr w:type="spellStart"/>
            <w:r w:rsidRPr="00167CC5">
              <w:t>Universiti</w:t>
            </w:r>
            <w:proofErr w:type="spellEnd"/>
            <w:r w:rsidRPr="00167CC5">
              <w:t xml:space="preserve"> </w:t>
            </w:r>
            <w:proofErr w:type="spellStart"/>
            <w:r w:rsidRPr="00167CC5">
              <w:t>Kebangsaan</w:t>
            </w:r>
            <w:proofErr w:type="spellEnd"/>
            <w:r w:rsidRPr="00167CC5">
              <w:t xml:space="preserve"> Malaysia, 1995.</w:t>
            </w:r>
          </w:p>
        </w:tc>
      </w:tr>
      <w:tr w:rsidR="00A11759" w14:paraId="29BB9634" w14:textId="77777777" w:rsidTr="00A11759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C725A" w14:textId="1E336EAA" w:rsidR="00A11759" w:rsidRDefault="00A11759"/>
        </w:tc>
      </w:tr>
      <w:tr w:rsidR="00A11759" w14:paraId="1AB55C5F" w14:textId="77777777" w:rsidTr="00D21A44">
        <w:tc>
          <w:tcPr>
            <w:tcW w:w="10054" w:type="dxa"/>
            <w:gridSpan w:val="3"/>
            <w:tcBorders>
              <w:bottom w:val="nil"/>
            </w:tcBorders>
            <w:shd w:val="clear" w:color="auto" w:fill="C00000"/>
            <w:vAlign w:val="center"/>
          </w:tcPr>
          <w:p w14:paraId="41274601" w14:textId="048FBB0A" w:rsidR="00A11759" w:rsidRDefault="00A11759" w:rsidP="00D21A44">
            <w:pPr>
              <w:jc w:val="center"/>
            </w:pPr>
            <w:r w:rsidRPr="00A11759">
              <w:t>Areas of Interest</w:t>
            </w:r>
          </w:p>
        </w:tc>
      </w:tr>
      <w:tr w:rsidR="00A11759" w14:paraId="77FA05B9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57158" w14:textId="760CC509" w:rsidR="00A11759" w:rsidRDefault="00167CC5" w:rsidP="00167CC5">
            <w:pPr>
              <w:pStyle w:val="ListParagraph"/>
              <w:numPr>
                <w:ilvl w:val="0"/>
                <w:numId w:val="2"/>
              </w:numPr>
            </w:pPr>
            <w:r w:rsidRPr="00167CC5">
              <w:t>Nutrition Related Chronic Diseases</w:t>
            </w:r>
          </w:p>
        </w:tc>
      </w:tr>
      <w:tr w:rsidR="00A11759" w14:paraId="04C1F97C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A725B" w14:textId="2289AD55" w:rsidR="00A11759" w:rsidRDefault="00167CC5" w:rsidP="00167CC5">
            <w:pPr>
              <w:pStyle w:val="ListParagraph"/>
              <w:numPr>
                <w:ilvl w:val="0"/>
                <w:numId w:val="2"/>
              </w:numPr>
            </w:pPr>
            <w:r w:rsidRPr="00167CC5">
              <w:t>Functional Foods and Nutraceuticals.</w:t>
            </w:r>
          </w:p>
        </w:tc>
      </w:tr>
      <w:tr w:rsidR="00A11759" w14:paraId="515B3A58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7C8A2" w14:textId="77777777" w:rsidR="00A11759" w:rsidRDefault="00167CC5" w:rsidP="00167CC5">
            <w:pPr>
              <w:pStyle w:val="ListParagraph"/>
              <w:numPr>
                <w:ilvl w:val="0"/>
                <w:numId w:val="2"/>
              </w:numPr>
            </w:pPr>
            <w:r w:rsidRPr="00167CC5">
              <w:t>Food and Nutrition Databases</w:t>
            </w:r>
          </w:p>
          <w:p w14:paraId="208CB728" w14:textId="45EB5AD0" w:rsidR="00BC0E16" w:rsidRDefault="00BC0E16" w:rsidP="00BC0E16">
            <w:pPr>
              <w:pStyle w:val="ListParagraph"/>
              <w:ind w:left="360"/>
            </w:pPr>
          </w:p>
        </w:tc>
      </w:tr>
      <w:tr w:rsidR="00A11759" w14:paraId="3B019A18" w14:textId="77777777" w:rsidTr="00D21A44">
        <w:tc>
          <w:tcPr>
            <w:tcW w:w="10054" w:type="dxa"/>
            <w:gridSpan w:val="3"/>
            <w:tcBorders>
              <w:bottom w:val="nil"/>
            </w:tcBorders>
            <w:shd w:val="clear" w:color="auto" w:fill="C00000"/>
            <w:vAlign w:val="center"/>
          </w:tcPr>
          <w:p w14:paraId="495773C8" w14:textId="5A0B5647" w:rsidR="00A11759" w:rsidRDefault="00A11759" w:rsidP="00D21A44">
            <w:pPr>
              <w:jc w:val="center"/>
            </w:pPr>
            <w:r w:rsidRPr="00A11759">
              <w:t>Professional Qualification/</w:t>
            </w:r>
            <w:r>
              <w:t xml:space="preserve"> </w:t>
            </w:r>
            <w:r w:rsidRPr="00A11759">
              <w:t>Membership/</w:t>
            </w:r>
            <w:r>
              <w:t xml:space="preserve"> </w:t>
            </w:r>
            <w:r w:rsidRPr="00A11759">
              <w:t>Affiliation</w:t>
            </w:r>
          </w:p>
        </w:tc>
      </w:tr>
      <w:tr w:rsidR="00A11759" w14:paraId="4B5D23B7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6BA99" w14:textId="77777777" w:rsidR="00A11759" w:rsidRDefault="00167CC5" w:rsidP="00BC0E16">
            <w:pPr>
              <w:pStyle w:val="ListParagraph"/>
              <w:numPr>
                <w:ilvl w:val="0"/>
                <w:numId w:val="3"/>
              </w:numPr>
            </w:pPr>
            <w:r>
              <w:t xml:space="preserve">Registered as </w:t>
            </w:r>
            <w:r w:rsidRPr="00167CC5">
              <w:t>Professional Technologist- (PT18060029)-</w:t>
            </w:r>
            <w:r>
              <w:t xml:space="preserve"> Malaysian Board of Technologist (MBOT)</w:t>
            </w:r>
            <w:r w:rsidRPr="00167CC5">
              <w:t xml:space="preserve">- </w:t>
            </w:r>
            <w:r>
              <w:t xml:space="preserve">since </w:t>
            </w:r>
            <w:r w:rsidRPr="00167CC5">
              <w:t>2018</w:t>
            </w:r>
          </w:p>
          <w:p w14:paraId="47816DC6" w14:textId="52A8DE58" w:rsidR="00BC0E16" w:rsidRDefault="00BC0E16" w:rsidP="00BC0E16">
            <w:pPr>
              <w:pStyle w:val="ListParagraph"/>
              <w:ind w:left="360"/>
            </w:pPr>
          </w:p>
        </w:tc>
      </w:tr>
      <w:tr w:rsidR="00A11759" w14:paraId="0EAAA264" w14:textId="77777777" w:rsidTr="00D21A44">
        <w:tc>
          <w:tcPr>
            <w:tcW w:w="10054" w:type="dxa"/>
            <w:gridSpan w:val="3"/>
            <w:tcBorders>
              <w:bottom w:val="nil"/>
            </w:tcBorders>
            <w:shd w:val="clear" w:color="auto" w:fill="C00000"/>
            <w:vAlign w:val="center"/>
          </w:tcPr>
          <w:p w14:paraId="10EA7C2E" w14:textId="4A3C6262" w:rsidR="00A11759" w:rsidRDefault="00A11759" w:rsidP="00D21A44">
            <w:pPr>
              <w:jc w:val="center"/>
            </w:pPr>
            <w:r w:rsidRPr="00A11759">
              <w:t>Appointments (Inside and Outside UPM)</w:t>
            </w:r>
          </w:p>
        </w:tc>
      </w:tr>
      <w:tr w:rsidR="00A11759" w14:paraId="6E3CF92F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49A37" w14:textId="0D7B7E6E" w:rsidR="00A11759" w:rsidRDefault="007C62D4" w:rsidP="00D55694">
            <w:pPr>
              <w:pStyle w:val="ListParagraph"/>
              <w:numPr>
                <w:ilvl w:val="0"/>
                <w:numId w:val="4"/>
              </w:numPr>
            </w:pPr>
            <w:r w:rsidRPr="007C62D4">
              <w:t xml:space="preserve">Panel </w:t>
            </w:r>
            <w:proofErr w:type="spellStart"/>
            <w:r w:rsidRPr="007C62D4">
              <w:t>Penilai</w:t>
            </w:r>
            <w:proofErr w:type="spellEnd"/>
            <w:r w:rsidRPr="007C62D4">
              <w:t xml:space="preserve"> Skim </w:t>
            </w:r>
            <w:proofErr w:type="spellStart"/>
            <w:r w:rsidRPr="007C62D4">
              <w:t>Geran</w:t>
            </w:r>
            <w:proofErr w:type="spellEnd"/>
            <w:r w:rsidRPr="007C62D4">
              <w:t xml:space="preserve"> </w:t>
            </w:r>
            <w:proofErr w:type="spellStart"/>
            <w:r w:rsidRPr="007C62D4">
              <w:t>Penyelidikan</w:t>
            </w:r>
            <w:proofErr w:type="spellEnd"/>
            <w:r w:rsidRPr="007C62D4">
              <w:t xml:space="preserve"> Fundamental- Kementerian Pendidikan Malaysia</w:t>
            </w:r>
            <w:r>
              <w:t xml:space="preserve">- </w:t>
            </w:r>
            <w:r w:rsidRPr="007C62D4">
              <w:t>Kementerian Pendidikan Tinggi (Ministry of Higher Education)</w:t>
            </w:r>
            <w:r>
              <w:t>- 2015 till present</w:t>
            </w:r>
          </w:p>
        </w:tc>
      </w:tr>
      <w:tr w:rsidR="00A11759" w14:paraId="409F7908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E9AFD" w14:textId="77777777" w:rsidR="00A11759" w:rsidRDefault="007C62D4" w:rsidP="007C62D4">
            <w:pPr>
              <w:pStyle w:val="ListParagraph"/>
              <w:numPr>
                <w:ilvl w:val="0"/>
                <w:numId w:val="4"/>
              </w:numPr>
            </w:pPr>
            <w:r w:rsidRPr="007C62D4">
              <w:t xml:space="preserve">Ahli </w:t>
            </w:r>
            <w:proofErr w:type="spellStart"/>
            <w:r w:rsidRPr="007C62D4">
              <w:t>Jawatankuasa</w:t>
            </w:r>
            <w:proofErr w:type="spellEnd"/>
            <w:r w:rsidRPr="007C62D4">
              <w:t xml:space="preserve"> Technical Working Group (TWG) </w:t>
            </w:r>
            <w:proofErr w:type="spellStart"/>
            <w:r w:rsidRPr="007C62D4">
              <w:t>Draf</w:t>
            </w:r>
            <w:proofErr w:type="spellEnd"/>
            <w:r w:rsidRPr="007C62D4">
              <w:t xml:space="preserve"> </w:t>
            </w:r>
            <w:proofErr w:type="spellStart"/>
            <w:r w:rsidRPr="007C62D4">
              <w:t>Prioriti</w:t>
            </w:r>
            <w:proofErr w:type="spellEnd"/>
            <w:r w:rsidRPr="007C62D4">
              <w:t xml:space="preserve"> </w:t>
            </w:r>
            <w:proofErr w:type="spellStart"/>
            <w:r w:rsidRPr="007C62D4">
              <w:t>Penyelidikan</w:t>
            </w:r>
            <w:proofErr w:type="spellEnd"/>
            <w:r w:rsidRPr="007C62D4">
              <w:t xml:space="preserve"> </w:t>
            </w:r>
            <w:proofErr w:type="spellStart"/>
            <w:r w:rsidRPr="007C62D4">
              <w:t>Pemakanan</w:t>
            </w:r>
            <w:proofErr w:type="spellEnd"/>
            <w:r w:rsidRPr="007C62D4">
              <w:t xml:space="preserve"> Malaysia </w:t>
            </w:r>
            <w:proofErr w:type="spellStart"/>
            <w:r w:rsidRPr="007C62D4">
              <w:t>utk</w:t>
            </w:r>
            <w:proofErr w:type="spellEnd"/>
            <w:r w:rsidRPr="007C62D4">
              <w:t xml:space="preserve"> RMK-11 (2016-2020)</w:t>
            </w:r>
            <w:r>
              <w:t>- Kementerian Kesihatan Malaysia (Ministry of Health)- 2015 till present</w:t>
            </w:r>
          </w:p>
          <w:p w14:paraId="592A4282" w14:textId="77777777" w:rsidR="00A458F9" w:rsidRDefault="00A458F9" w:rsidP="007C62D4">
            <w:pPr>
              <w:pStyle w:val="ListParagraph"/>
              <w:numPr>
                <w:ilvl w:val="0"/>
                <w:numId w:val="4"/>
              </w:numPr>
            </w:pPr>
            <w:r w:rsidRPr="00A458F9">
              <w:t xml:space="preserve">Ahli Kumpulan </w:t>
            </w:r>
            <w:proofErr w:type="spellStart"/>
            <w:r w:rsidRPr="00A458F9">
              <w:t>Kerja</w:t>
            </w:r>
            <w:proofErr w:type="spellEnd"/>
            <w:r w:rsidRPr="00A458F9">
              <w:t xml:space="preserve"> Editorial Nutrition Research in Malaysia (Selected Bibliography of Published Journal Articles from 2011- 2014)</w:t>
            </w:r>
            <w:r>
              <w:t xml:space="preserve">- </w:t>
            </w:r>
            <w:r w:rsidRPr="00A458F9">
              <w:t>Kementerian Kesihatan Malaysia (Ministry of Health</w:t>
            </w:r>
            <w:r>
              <w:t>)- 2015-2019</w:t>
            </w:r>
          </w:p>
          <w:p w14:paraId="7FA03C80" w14:textId="77777777" w:rsidR="00A458F9" w:rsidRDefault="00A458F9" w:rsidP="00A458F9">
            <w:pPr>
              <w:pStyle w:val="ListParagraph"/>
              <w:numPr>
                <w:ilvl w:val="0"/>
                <w:numId w:val="4"/>
              </w:numPr>
            </w:pPr>
            <w:r>
              <w:t xml:space="preserve">Ahli </w:t>
            </w:r>
            <w:proofErr w:type="spellStart"/>
            <w:r>
              <w:t>Jawatankuasa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Pemakanan</w:t>
            </w:r>
            <w:proofErr w:type="spellEnd"/>
            <w:r>
              <w:t xml:space="preserve">/ </w:t>
            </w:r>
            <w:proofErr w:type="spellStart"/>
            <w:r>
              <w:t>Tuntutan</w:t>
            </w:r>
            <w:proofErr w:type="spellEnd"/>
            <w:r>
              <w:t xml:space="preserve"> </w:t>
            </w:r>
            <w:proofErr w:type="spellStart"/>
            <w:r>
              <w:t>Pemakanan</w:t>
            </w:r>
            <w:proofErr w:type="spellEnd"/>
            <w:r>
              <w:t xml:space="preserve">/ </w:t>
            </w:r>
            <w:proofErr w:type="spellStart"/>
            <w:r>
              <w:t>Pengiklanan</w:t>
            </w:r>
            <w:proofErr w:type="spellEnd"/>
            <w:r>
              <w:t xml:space="preserve"> (di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Jawatankuasa</w:t>
            </w:r>
            <w:proofErr w:type="spellEnd"/>
            <w:r>
              <w:t xml:space="preserve">    </w:t>
            </w:r>
          </w:p>
          <w:p w14:paraId="34306BAC" w14:textId="128BDDAD" w:rsidR="00A458F9" w:rsidRDefault="00A458F9" w:rsidP="00A458F9">
            <w:pPr>
              <w:pStyle w:val="ListParagraph"/>
              <w:ind w:left="360"/>
            </w:pPr>
            <w:proofErr w:type="spellStart"/>
            <w:r>
              <w:t>Penasihat</w:t>
            </w:r>
            <w:proofErr w:type="spellEnd"/>
            <w:r>
              <w:t xml:space="preserve"> </w:t>
            </w:r>
            <w:proofErr w:type="spellStart"/>
            <w:r>
              <w:t>Teknikal</w:t>
            </w:r>
            <w:proofErr w:type="spellEnd"/>
            <w:r>
              <w:t xml:space="preserve"> </w:t>
            </w:r>
            <w:proofErr w:type="spellStart"/>
            <w:r>
              <w:t>Peraturan-peraturan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1985) (Expert Working Group on Nutrition and Health Claim and Advertisement under the Technical Advisory Committee on Food Regulations 1985)- </w:t>
            </w:r>
            <w:r w:rsidRPr="00A458F9">
              <w:t>Kementerian Kesihatan Malaysia (Ministry of Health)- 20</w:t>
            </w:r>
            <w:r>
              <w:t>06 till present</w:t>
            </w:r>
          </w:p>
        </w:tc>
      </w:tr>
      <w:tr w:rsidR="00A11759" w14:paraId="42E20D3A" w14:textId="77777777" w:rsidTr="00D21A44"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2EFB0" w14:textId="471B98EF" w:rsidR="00A11759" w:rsidRDefault="00A11759" w:rsidP="00A458F9"/>
        </w:tc>
      </w:tr>
      <w:tr w:rsidR="00A11759" w14:paraId="3F4237BE" w14:textId="77777777" w:rsidTr="00A11759">
        <w:tc>
          <w:tcPr>
            <w:tcW w:w="10054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15FB226" w14:textId="77777777" w:rsidR="00A11759" w:rsidRDefault="00A11759" w:rsidP="00D21A44">
            <w:pPr>
              <w:jc w:val="center"/>
            </w:pPr>
            <w:r w:rsidRPr="00A11759">
              <w:t>Appointments (Inside and Outside UPM)</w:t>
            </w:r>
          </w:p>
        </w:tc>
      </w:tr>
      <w:tr w:rsidR="00A11759" w14:paraId="313A115D" w14:textId="5FF7E09E" w:rsidTr="00BC0E1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48FD" w14:textId="10DA37C2" w:rsidR="00A11759" w:rsidRPr="00955B9A" w:rsidRDefault="00A11759" w:rsidP="00A11759">
            <w:pPr>
              <w:jc w:val="center"/>
              <w:rPr>
                <w:b/>
                <w:bCs/>
              </w:rPr>
            </w:pPr>
            <w:r w:rsidRPr="00955B9A">
              <w:rPr>
                <w:b/>
                <w:bCs/>
              </w:rPr>
              <w:t>Date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F30B1" w14:textId="49FB6BB5" w:rsidR="00A11759" w:rsidRPr="00955B9A" w:rsidRDefault="00A11759" w:rsidP="00A11759">
            <w:pPr>
              <w:jc w:val="center"/>
              <w:rPr>
                <w:b/>
                <w:bCs/>
              </w:rPr>
            </w:pPr>
            <w:r w:rsidRPr="00955B9A">
              <w:rPr>
                <w:b/>
                <w:bCs/>
              </w:rPr>
              <w:t>Designation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0881" w14:textId="014BF531" w:rsidR="00A11759" w:rsidRPr="00955B9A" w:rsidRDefault="00A11759" w:rsidP="00A11759">
            <w:pPr>
              <w:jc w:val="center"/>
              <w:rPr>
                <w:b/>
                <w:bCs/>
              </w:rPr>
            </w:pPr>
            <w:r w:rsidRPr="00955B9A">
              <w:rPr>
                <w:b/>
                <w:bCs/>
              </w:rPr>
              <w:t>Remarks</w:t>
            </w:r>
          </w:p>
        </w:tc>
      </w:tr>
      <w:tr w:rsidR="00A11759" w14:paraId="21AF0BBD" w14:textId="7084DEEF" w:rsidTr="00BC0E16"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8F581" w14:textId="0A2DC093" w:rsidR="00A11759" w:rsidRDefault="00A458F9" w:rsidP="00A458F9">
            <w:pPr>
              <w:pStyle w:val="ListParagraph"/>
              <w:numPr>
                <w:ilvl w:val="0"/>
                <w:numId w:val="9"/>
              </w:numPr>
            </w:pPr>
            <w:r w:rsidRPr="00A458F9">
              <w:t>2015</w:t>
            </w:r>
            <w:r w:rsidR="007A3123">
              <w:t xml:space="preserve">- </w:t>
            </w:r>
            <w:r w:rsidRPr="00A458F9">
              <w:t>present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0DF0D" w14:textId="0656B903" w:rsidR="00A11759" w:rsidRDefault="00A458F9" w:rsidP="00A11759">
            <w:r w:rsidRPr="00A458F9">
              <w:t>Research Grant Panel</w:t>
            </w:r>
            <w:r>
              <w:t xml:space="preserve"> (FRGS, PRGS)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971C8" w14:textId="16519DEE" w:rsidR="00A11759" w:rsidRDefault="00A458F9" w:rsidP="00A11759">
            <w:r>
              <w:t>No.1 above</w:t>
            </w:r>
          </w:p>
        </w:tc>
      </w:tr>
      <w:tr w:rsidR="00BC0E16" w14:paraId="08F47F0F" w14:textId="77777777" w:rsidTr="00BC0E16"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F44D4" w14:textId="68766DEB" w:rsidR="00BC0E16" w:rsidRPr="00A458F9" w:rsidRDefault="00BC0E16" w:rsidP="00A458F9">
            <w:pPr>
              <w:pStyle w:val="ListParagraph"/>
              <w:numPr>
                <w:ilvl w:val="0"/>
                <w:numId w:val="9"/>
              </w:numPr>
            </w:pPr>
            <w:r w:rsidRPr="00BC0E16">
              <w:t>2015- present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05E2C" w14:textId="10D6102B" w:rsidR="00BC0E16" w:rsidRPr="00A458F9" w:rsidRDefault="00BC0E16" w:rsidP="00A11759">
            <w:r w:rsidRPr="00BC0E16">
              <w:t>Nutrition expert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979DB" w14:textId="236856EA" w:rsidR="00BC0E16" w:rsidRDefault="00BC0E16" w:rsidP="00A11759">
            <w:r w:rsidRPr="00BC0E16">
              <w:t>No.2 above</w:t>
            </w:r>
          </w:p>
        </w:tc>
      </w:tr>
      <w:tr w:rsidR="00BC0E16" w14:paraId="258D8932" w14:textId="77777777" w:rsidTr="00BC0E16"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DECD8" w14:textId="54C634EF" w:rsidR="00BC0E16" w:rsidRPr="00A458F9" w:rsidRDefault="00BC0E16" w:rsidP="00A458F9">
            <w:pPr>
              <w:pStyle w:val="ListParagraph"/>
              <w:numPr>
                <w:ilvl w:val="0"/>
                <w:numId w:val="9"/>
              </w:numPr>
            </w:pPr>
            <w:r w:rsidRPr="00BC0E16">
              <w:t>2015-2019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3EDF0" w14:textId="3111AA1F" w:rsidR="00BC0E16" w:rsidRPr="00A458F9" w:rsidRDefault="00BC0E16" w:rsidP="00A11759">
            <w:r w:rsidRPr="00BC0E16">
              <w:t>Nutrition expert from Academia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BF75D" w14:textId="47599972" w:rsidR="00BC0E16" w:rsidRDefault="00BC0E16" w:rsidP="00A11759">
            <w:r w:rsidRPr="00BC0E16">
              <w:t>No.3 above</w:t>
            </w:r>
          </w:p>
        </w:tc>
      </w:tr>
      <w:tr w:rsidR="00BC0E16" w14:paraId="02FC5888" w14:textId="77777777" w:rsidTr="00BC0E16"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A15AA" w14:textId="1B981118" w:rsidR="00BC0E16" w:rsidRPr="00BC0E16" w:rsidRDefault="00BC0E16" w:rsidP="00A458F9">
            <w:pPr>
              <w:pStyle w:val="ListParagraph"/>
              <w:numPr>
                <w:ilvl w:val="0"/>
                <w:numId w:val="9"/>
              </w:numPr>
            </w:pPr>
            <w:r w:rsidRPr="00BC0E16">
              <w:t>2006- present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DE529" w14:textId="3FF7F555" w:rsidR="00BC0E16" w:rsidRPr="00BC0E16" w:rsidRDefault="00BC0E16" w:rsidP="00A11759">
            <w:r w:rsidRPr="00BC0E16">
              <w:t>Nutrition expert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D3DE4" w14:textId="307BAC85" w:rsidR="00BC0E16" w:rsidRPr="00BC0E16" w:rsidRDefault="00BC0E16" w:rsidP="00A11759">
            <w:r w:rsidRPr="00BC0E16">
              <w:t>No.4 above</w:t>
            </w:r>
          </w:p>
        </w:tc>
      </w:tr>
    </w:tbl>
    <w:p w14:paraId="6DE6267E" w14:textId="13964056" w:rsidR="00A11759" w:rsidRDefault="00A11759"/>
    <w:p w14:paraId="062EEACD" w14:textId="77777777" w:rsidR="00BC0E16" w:rsidRDefault="00BC0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A4429" w14:paraId="2F21030F" w14:textId="77777777" w:rsidTr="00AA4429">
        <w:tc>
          <w:tcPr>
            <w:tcW w:w="10054" w:type="dxa"/>
            <w:shd w:val="clear" w:color="auto" w:fill="C00000"/>
            <w:vAlign w:val="center"/>
          </w:tcPr>
          <w:p w14:paraId="2F60C98D" w14:textId="633ACEDC" w:rsidR="00AA4429" w:rsidRDefault="00AA4429" w:rsidP="00D21A44">
            <w:pPr>
              <w:jc w:val="center"/>
            </w:pPr>
            <w:r>
              <w:lastRenderedPageBreak/>
              <w:t>Publications</w:t>
            </w:r>
          </w:p>
        </w:tc>
      </w:tr>
      <w:tr w:rsidR="00AA4429" w14:paraId="746D7284" w14:textId="77777777" w:rsidTr="00AA4429">
        <w:tc>
          <w:tcPr>
            <w:tcW w:w="100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4406" w14:textId="4A0A1E12" w:rsidR="00AA4429" w:rsidRPr="00AA4429" w:rsidRDefault="00AA4429" w:rsidP="00AA4429">
            <w:pPr>
              <w:rPr>
                <w:b/>
                <w:bCs/>
              </w:rPr>
            </w:pPr>
            <w:r w:rsidRPr="00AA4429">
              <w:rPr>
                <w:b/>
                <w:bCs/>
              </w:rPr>
              <w:t>Journals (in 5 years)</w:t>
            </w:r>
          </w:p>
        </w:tc>
      </w:tr>
      <w:tr w:rsidR="00AA4429" w14:paraId="0A7A0A2F" w14:textId="77777777" w:rsidTr="00AA4429">
        <w:tc>
          <w:tcPr>
            <w:tcW w:w="10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448D8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7A3123">
              <w:rPr>
                <w:b/>
                <w:bCs/>
              </w:rPr>
              <w:t>Azrina</w:t>
            </w:r>
            <w:proofErr w:type="spellEnd"/>
            <w:r w:rsidRPr="007A3123">
              <w:rPr>
                <w:b/>
                <w:bCs/>
              </w:rPr>
              <w:t xml:space="preserve"> </w:t>
            </w:r>
            <w:proofErr w:type="spellStart"/>
            <w:r w:rsidRPr="007A3123">
              <w:rPr>
                <w:b/>
                <w:bCs/>
              </w:rPr>
              <w:t>Azlan</w:t>
            </w:r>
            <w:proofErr w:type="spellEnd"/>
            <w:r>
              <w:t xml:space="preserve">, Khoo Hock </w:t>
            </w:r>
            <w:proofErr w:type="spellStart"/>
            <w:r>
              <w:t>Eng</w:t>
            </w:r>
            <w:proofErr w:type="spellEnd"/>
            <w:r>
              <w:t xml:space="preserve">, </w:t>
            </w:r>
            <w:proofErr w:type="spellStart"/>
            <w:r>
              <w:t>Azliana</w:t>
            </w:r>
            <w:proofErr w:type="spellEnd"/>
            <w:r>
              <w:t xml:space="preserve"> Abu Sajak, Noor </w:t>
            </w:r>
            <w:proofErr w:type="spellStart"/>
            <w:r>
              <w:t>Atiqah</w:t>
            </w:r>
            <w:proofErr w:type="spellEnd"/>
            <w:r>
              <w:t xml:space="preserve"> </w:t>
            </w:r>
            <w:proofErr w:type="spellStart"/>
            <w:r>
              <w:t>Aizan</w:t>
            </w:r>
            <w:proofErr w:type="spellEnd"/>
            <w:r>
              <w:t xml:space="preserve"> Abdul Kadir, </w:t>
            </w:r>
            <w:proofErr w:type="spellStart"/>
            <w:r>
              <w:t>Barakatun</w:t>
            </w:r>
            <w:proofErr w:type="spellEnd"/>
            <w:r>
              <w:t xml:space="preserve"> </w:t>
            </w:r>
            <w:proofErr w:type="spellStart"/>
            <w:r>
              <w:t>Nisak</w:t>
            </w:r>
            <w:proofErr w:type="spellEnd"/>
            <w:r>
              <w:t xml:space="preserve"> </w:t>
            </w:r>
            <w:proofErr w:type="spellStart"/>
            <w:r>
              <w:t>MohdYusof</w:t>
            </w:r>
            <w:proofErr w:type="spellEnd"/>
            <w:r>
              <w:t xml:space="preserve">, </w:t>
            </w:r>
            <w:proofErr w:type="spellStart"/>
            <w:r>
              <w:t>Zhafarina</w:t>
            </w:r>
            <w:proofErr w:type="spellEnd"/>
            <w:r>
              <w:t xml:space="preserve"> Mahmood, </w:t>
            </w:r>
            <w:proofErr w:type="spellStart"/>
            <w:r>
              <w:t>Sharmin</w:t>
            </w:r>
            <w:proofErr w:type="spellEnd"/>
            <w:r>
              <w:t xml:space="preserve"> Sultana. 2020. Nutritional, Antioxidants, Physicochemical Characteristics and Toxicity Properties of the Minimally Refined Brown Sugar and Other Sugars. Food Science &amp; Nutrition (Accepted 15 July 2020)</w:t>
            </w:r>
          </w:p>
          <w:p w14:paraId="4DDB27F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Suk </w:t>
            </w:r>
            <w:proofErr w:type="spellStart"/>
            <w:r>
              <w:t>Huei</w:t>
            </w:r>
            <w:proofErr w:type="spellEnd"/>
            <w:r>
              <w:t xml:space="preserve"> Chan, </w:t>
            </w:r>
            <w:proofErr w:type="spellStart"/>
            <w:r w:rsidRPr="007A3123">
              <w:rPr>
                <w:b/>
                <w:bCs/>
              </w:rPr>
              <w:t>Azrina</w:t>
            </w:r>
            <w:proofErr w:type="spellEnd"/>
            <w:r w:rsidRPr="007A3123">
              <w:rPr>
                <w:b/>
                <w:bCs/>
              </w:rPr>
              <w:t xml:space="preserve"> </w:t>
            </w:r>
            <w:proofErr w:type="spellStart"/>
            <w:r w:rsidRPr="007A3123">
              <w:rPr>
                <w:b/>
                <w:bCs/>
              </w:rPr>
              <w:t>Azlan</w:t>
            </w:r>
            <w:proofErr w:type="spellEnd"/>
            <w:r>
              <w:t xml:space="preserve">, Amin Ismail, Nurul </w:t>
            </w:r>
            <w:proofErr w:type="spellStart"/>
            <w:r>
              <w:t>Husna</w:t>
            </w:r>
            <w:proofErr w:type="spellEnd"/>
            <w:r>
              <w:t xml:space="preserve"> </w:t>
            </w:r>
            <w:proofErr w:type="spellStart"/>
            <w:r>
              <w:t>Shafie</w:t>
            </w:r>
            <w:proofErr w:type="spellEnd"/>
            <w:r>
              <w:t>. 2020. Capsaicin: Current Understanding in Therapeutic Effects, Drug Interaction, and Bioavailability. Malaysian Journal of Medicine and Health Sciences. (Accepted 16 June 2020).</w:t>
            </w:r>
          </w:p>
          <w:p w14:paraId="6B98E99F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Sharmin</w:t>
            </w:r>
            <w:proofErr w:type="spellEnd"/>
            <w:r>
              <w:t xml:space="preserve"> Sultana, MA </w:t>
            </w:r>
            <w:proofErr w:type="spellStart"/>
            <w:r>
              <w:t>Motalib</w:t>
            </w:r>
            <w:proofErr w:type="spellEnd"/>
            <w:r>
              <w:t xml:space="preserve"> Hossain,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Rafie</w:t>
            </w:r>
            <w:proofErr w:type="spellEnd"/>
            <w:r>
              <w:t xml:space="preserve"> Johan, </w:t>
            </w:r>
            <w:proofErr w:type="spellStart"/>
            <w:r>
              <w:t>Zaira</w:t>
            </w:r>
            <w:proofErr w:type="spellEnd"/>
            <w:r>
              <w:t xml:space="preserve"> Zaman Chowdhury, MD </w:t>
            </w:r>
            <w:proofErr w:type="spellStart"/>
            <w:r>
              <w:t>Eaqub</w:t>
            </w:r>
            <w:proofErr w:type="spellEnd"/>
            <w:r>
              <w:t xml:space="preserve"> Ali. 2020. TaqMan Probe Based Multiplex Quantitative PCR Assay for the Determination of Cattle, Pig and Fish DNA in </w:t>
            </w:r>
            <w:proofErr w:type="spellStart"/>
            <w:r>
              <w:t>Gelatin</w:t>
            </w:r>
            <w:proofErr w:type="spellEnd"/>
            <w:r>
              <w:t xml:space="preserve"> Admixture, Food Products and Dietary Supplements. Food Chemistry. https://doi.org/10.1016/j.foodchem.2020.126756Get (Online proof)</w:t>
            </w:r>
          </w:p>
          <w:p w14:paraId="64477B9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Suk </w:t>
            </w:r>
            <w:proofErr w:type="spellStart"/>
            <w:r>
              <w:t>Huei</w:t>
            </w:r>
            <w:proofErr w:type="spellEnd"/>
            <w:r>
              <w:t xml:space="preserve"> Chan,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Amin Ismail, Nurul </w:t>
            </w:r>
            <w:proofErr w:type="spellStart"/>
            <w:r>
              <w:t>Husna</w:t>
            </w:r>
            <w:proofErr w:type="spellEnd"/>
            <w:r>
              <w:t xml:space="preserve"> </w:t>
            </w:r>
            <w:proofErr w:type="spellStart"/>
            <w:r>
              <w:t>Shafie</w:t>
            </w:r>
            <w:proofErr w:type="spellEnd"/>
            <w:r>
              <w:t xml:space="preserve">, </w:t>
            </w:r>
            <w:proofErr w:type="spellStart"/>
            <w:r>
              <w:t>Sharmin</w:t>
            </w:r>
            <w:proofErr w:type="spellEnd"/>
            <w:r>
              <w:t xml:space="preserve"> Sultana. 2020. Antioxidant and Anti-Obesity Properties of Local Chilies Varieties in Malaysia. Journal of Food Science and Technology. pp 1-11 (Online first)</w:t>
            </w:r>
          </w:p>
          <w:p w14:paraId="255D0907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Fatin</w:t>
            </w:r>
            <w:proofErr w:type="spellEnd"/>
            <w:r>
              <w:t xml:space="preserve"> Najwa Ramli, </w:t>
            </w:r>
            <w:proofErr w:type="spellStart"/>
            <w:r>
              <w:t>Azliana</w:t>
            </w:r>
            <w:proofErr w:type="spellEnd"/>
            <w:r>
              <w:t xml:space="preserve"> Abu Bakar Sajak, </w:t>
            </w:r>
            <w:proofErr w:type="spellStart"/>
            <w:r>
              <w:t>Faridah</w:t>
            </w:r>
            <w:proofErr w:type="spellEnd"/>
            <w:r>
              <w:t xml:space="preserve"> Abas, </w:t>
            </w:r>
            <w:proofErr w:type="spellStart"/>
            <w:r>
              <w:t>Zulfitri</w:t>
            </w:r>
            <w:proofErr w:type="spellEnd"/>
            <w:r>
              <w:t xml:space="preserve"> `</w:t>
            </w:r>
            <w:proofErr w:type="spellStart"/>
            <w:r>
              <w:t>Azuan</w:t>
            </w:r>
            <w:proofErr w:type="spellEnd"/>
            <w:r>
              <w:t xml:space="preserve"> Mat </w:t>
            </w:r>
            <w:proofErr w:type="spellStart"/>
            <w:r>
              <w:t>Daud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2020. Effect of Saffron Extract and Crocin in Serum Metabolites of Obese Induced Rats. BioMed Research International. 2020, Article ID 1247946, 1-15. https://doi.org/10.1155/2020/1247946</w:t>
            </w:r>
          </w:p>
          <w:p w14:paraId="7D301BB8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Nur </w:t>
            </w:r>
            <w:proofErr w:type="spellStart"/>
            <w:r>
              <w:t>Khaleeda</w:t>
            </w:r>
            <w:proofErr w:type="spellEnd"/>
            <w:r>
              <w:t xml:space="preserve"> Zulaikha </w:t>
            </w:r>
            <w:proofErr w:type="spellStart"/>
            <w:r>
              <w:t>Zolkeflee</w:t>
            </w:r>
            <w:proofErr w:type="spellEnd"/>
            <w:r>
              <w:t xml:space="preserve">, Nor Amira </w:t>
            </w:r>
            <w:proofErr w:type="spellStart"/>
            <w:r>
              <w:t>Isamail</w:t>
            </w:r>
            <w:proofErr w:type="spellEnd"/>
            <w:r>
              <w:t xml:space="preserve">, </w:t>
            </w:r>
            <w:proofErr w:type="spellStart"/>
            <w:r>
              <w:t>Maulidiani</w:t>
            </w:r>
            <w:proofErr w:type="spellEnd"/>
            <w:r>
              <w:t xml:space="preserve"> </w:t>
            </w:r>
            <w:proofErr w:type="spellStart"/>
            <w:r>
              <w:t>Maulidiani</w:t>
            </w:r>
            <w:proofErr w:type="spellEnd"/>
            <w:r>
              <w:t xml:space="preserve">, Nur </w:t>
            </w:r>
            <w:proofErr w:type="spellStart"/>
            <w:r>
              <w:t>Ashikin</w:t>
            </w:r>
            <w:proofErr w:type="spellEnd"/>
            <w:r>
              <w:t xml:space="preserve"> Abdul Hamid, Nurul </w:t>
            </w:r>
            <w:proofErr w:type="spellStart"/>
            <w:r>
              <w:t>Shazini</w:t>
            </w:r>
            <w:proofErr w:type="spellEnd"/>
            <w:r>
              <w:t xml:space="preserve"> Ramli,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Faridah</w:t>
            </w:r>
            <w:proofErr w:type="spellEnd"/>
            <w:r>
              <w:t xml:space="preserve"> Abas. 2020. Metabolite variations and antioxidant activity of </w:t>
            </w:r>
            <w:proofErr w:type="spellStart"/>
            <w:r>
              <w:t>Muntingia</w:t>
            </w:r>
            <w:proofErr w:type="spellEnd"/>
            <w:r>
              <w:t xml:space="preserve"> </w:t>
            </w:r>
            <w:proofErr w:type="spellStart"/>
            <w:r>
              <w:t>calabura</w:t>
            </w:r>
            <w:proofErr w:type="spellEnd"/>
            <w:r>
              <w:t xml:space="preserve"> leaves in response to different drying methods and ethanol ratios elucidated by NMR-based metabolomics. Phytochemical Analysis. 2020: 1–15.</w:t>
            </w:r>
          </w:p>
          <w:p w14:paraId="39A45B4E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Ting Kau </w:t>
            </w:r>
            <w:proofErr w:type="spellStart"/>
            <w:r>
              <w:t>Zae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Azliana</w:t>
            </w:r>
            <w:proofErr w:type="spellEnd"/>
            <w:r>
              <w:t xml:space="preserve"> Abu Bakar Sajak, </w:t>
            </w:r>
            <w:proofErr w:type="spellStart"/>
            <w:r>
              <w:t>Eng</w:t>
            </w:r>
            <w:proofErr w:type="spellEnd"/>
            <w:r>
              <w:t xml:space="preserve"> Khoo Hock,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Fairulnizal</w:t>
            </w:r>
            <w:proofErr w:type="spellEnd"/>
            <w:r>
              <w:t xml:space="preserve"> Md Noh and </w:t>
            </w:r>
            <w:proofErr w:type="spellStart"/>
            <w:r>
              <w:t>Norhayati</w:t>
            </w:r>
            <w:proofErr w:type="spellEnd"/>
            <w:r>
              <w:t xml:space="preserve"> Mustafa Khalid. 2020. Malaysian raw honeys as functional sweetener with antioxidant properties. Food Research 4 (Suppl. 1): 205–213.</w:t>
            </w:r>
          </w:p>
          <w:p w14:paraId="714F83BE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Azliana</w:t>
            </w:r>
            <w:proofErr w:type="spellEnd"/>
            <w:r>
              <w:t xml:space="preserve"> Abu Bakar Sajak,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Faridah</w:t>
            </w:r>
            <w:proofErr w:type="spellEnd"/>
            <w:r>
              <w:t xml:space="preserve"> Abas and </w:t>
            </w:r>
            <w:proofErr w:type="spellStart"/>
            <w:r>
              <w:t>Hazilawati</w:t>
            </w:r>
            <w:proofErr w:type="spellEnd"/>
            <w:r>
              <w:t xml:space="preserve"> Hamzah. 2020. Nutritional composition and Phytochemicals Identification of Herbal Mixture (Lemon, Apple cider, Garlic, Ginger and Honey) and Its Acute Toxicity in Zebrafish Embryo and Wistar Rat. Food Research 4 (Suppl. 1):196 – 204.</w:t>
            </w:r>
          </w:p>
          <w:p w14:paraId="127E0A03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Fikratul</w:t>
            </w:r>
            <w:proofErr w:type="spellEnd"/>
            <w:r>
              <w:t xml:space="preserve"> </w:t>
            </w:r>
            <w:proofErr w:type="spellStart"/>
            <w:r>
              <w:t>Najihah</w:t>
            </w:r>
            <w:proofErr w:type="spellEnd"/>
            <w:r>
              <w:t xml:space="preserve"> Mohamad Nawawi, </w:t>
            </w:r>
            <w:proofErr w:type="spellStart"/>
            <w:r>
              <w:t>Intan</w:t>
            </w:r>
            <w:proofErr w:type="spellEnd"/>
            <w:r>
              <w:t xml:space="preserve"> </w:t>
            </w:r>
            <w:proofErr w:type="spellStart"/>
            <w:r>
              <w:t>Syafinaz</w:t>
            </w:r>
            <w:proofErr w:type="spellEnd"/>
            <w:r>
              <w:t xml:space="preserve"> Ahmad </w:t>
            </w:r>
            <w:proofErr w:type="spellStart"/>
            <w:r>
              <w:t>Fadzly</w:t>
            </w:r>
            <w:proofErr w:type="spellEnd"/>
            <w:r>
              <w:t xml:space="preserve">, Noor </w:t>
            </w:r>
            <w:proofErr w:type="spellStart"/>
            <w:r>
              <w:t>Safiqah</w:t>
            </w:r>
            <w:proofErr w:type="spellEnd"/>
            <w:r>
              <w:t xml:space="preserve"> Ain </w:t>
            </w:r>
            <w:proofErr w:type="spellStart"/>
            <w:r>
              <w:t>Safingi</w:t>
            </w:r>
            <w:proofErr w:type="spellEnd"/>
            <w:r>
              <w:t xml:space="preserve">, </w:t>
            </w:r>
            <w:proofErr w:type="spellStart"/>
            <w:r>
              <w:t>Norhayati</w:t>
            </w:r>
            <w:proofErr w:type="spellEnd"/>
            <w:r>
              <w:t xml:space="preserve"> Mustafa Khalid,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Fairulnizal</w:t>
            </w:r>
            <w:proofErr w:type="spellEnd"/>
            <w:r>
              <w:t xml:space="preserve"> Md Noh,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2020. Sugar Composition and In Vitro Glycaemic Response of Sugars, Rice Based Meals and Traditional </w:t>
            </w:r>
            <w:proofErr w:type="spellStart"/>
            <w:r>
              <w:t>Kuih</w:t>
            </w:r>
            <w:proofErr w:type="spellEnd"/>
            <w:r>
              <w:t>. Food Research 4 (Suppl. 1): 187-195.</w:t>
            </w:r>
          </w:p>
          <w:p w14:paraId="0852BD7B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Maulidiani</w:t>
            </w:r>
            <w:proofErr w:type="spellEnd"/>
            <w:r>
              <w:t xml:space="preserve"> </w:t>
            </w:r>
            <w:proofErr w:type="spellStart"/>
            <w:r>
              <w:t>Ermaya</w:t>
            </w:r>
            <w:proofErr w:type="spellEnd"/>
            <w:r>
              <w:t xml:space="preserve">, </w:t>
            </w:r>
            <w:proofErr w:type="spellStart"/>
            <w:r>
              <w:t>Rudiyanto</w:t>
            </w:r>
            <w:proofErr w:type="spellEnd"/>
            <w:r>
              <w:t xml:space="preserve"> </w:t>
            </w:r>
            <w:proofErr w:type="spellStart"/>
            <w:r>
              <w:t>Rudiyanto</w:t>
            </w:r>
            <w:proofErr w:type="spellEnd"/>
            <w:r>
              <w:t xml:space="preserve">, </w:t>
            </w:r>
            <w:proofErr w:type="spellStart"/>
            <w:r>
              <w:t>Nordin</w:t>
            </w:r>
            <w:proofErr w:type="spellEnd"/>
            <w:r>
              <w:t xml:space="preserve"> </w:t>
            </w:r>
            <w:proofErr w:type="spellStart"/>
            <w:r>
              <w:t>Lajis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2019. Application of quantitative spectral deconvolution of 1H NMR (</w:t>
            </w:r>
            <w:proofErr w:type="spellStart"/>
            <w:r>
              <w:t>qsd</w:t>
            </w:r>
            <w:proofErr w:type="spellEnd"/>
            <w:r>
              <w:t>-NMR) in the simultaneous quantitative determination of creatinine and metformin in the human urine. Analytical Methods. 1-13. DOI: 10.1039/c9ay00594c</w:t>
            </w:r>
          </w:p>
          <w:p w14:paraId="693BC77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Yakubu Abdulrahman, Wei Lin Chang,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Loh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Peng and </w:t>
            </w:r>
            <w:proofErr w:type="spellStart"/>
            <w:r>
              <w:t>Sabariah</w:t>
            </w:r>
            <w:proofErr w:type="spellEnd"/>
            <w:r>
              <w:t xml:space="preserve"> Md Noor. 2019. Effects of EPA/DHA from yellow-stripe </w:t>
            </w:r>
            <w:proofErr w:type="spellStart"/>
            <w:r>
              <w:t>scad</w:t>
            </w:r>
            <w:proofErr w:type="spellEnd"/>
            <w:r>
              <w:t xml:space="preserve"> and salmon on platelet and endothelial cell-related cytokines of healthy overweight Malaysians. Life Sciences, Medicine and Biomedicine. Vol 3 (8) 28: 1-10 (https://doi.org/10.28916/lsmb.3.8.2019.28)</w:t>
            </w:r>
          </w:p>
          <w:p w14:paraId="3560DBE8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Ying Yee Chin, </w:t>
            </w:r>
            <w:proofErr w:type="spellStart"/>
            <w:r>
              <w:t>Gaik</w:t>
            </w:r>
            <w:proofErr w:type="spellEnd"/>
            <w:r>
              <w:t xml:space="preserve"> </w:t>
            </w:r>
            <w:proofErr w:type="spellStart"/>
            <w:r>
              <w:t>Theng</w:t>
            </w:r>
            <w:proofErr w:type="spellEnd"/>
            <w:r>
              <w:t xml:space="preserve"> </w:t>
            </w:r>
            <w:proofErr w:type="spellStart"/>
            <w:r>
              <w:t>Toh</w:t>
            </w:r>
            <w:proofErr w:type="spellEnd"/>
            <w:r>
              <w:t xml:space="preserve">, </w:t>
            </w:r>
            <w:proofErr w:type="spellStart"/>
            <w:r>
              <w:t>Junus</w:t>
            </w:r>
            <w:proofErr w:type="spellEnd"/>
            <w:r>
              <w:t xml:space="preserve"> </w:t>
            </w:r>
            <w:proofErr w:type="spellStart"/>
            <w:r>
              <w:t>Salampessy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, Amin Ismail. 2019. Nutritional composition and angiotensin converting enzyme inhibitory activity of blue lupin (</w:t>
            </w:r>
            <w:proofErr w:type="spellStart"/>
            <w:r>
              <w:t>Lupinus</w:t>
            </w:r>
            <w:proofErr w:type="spellEnd"/>
            <w:r>
              <w:t xml:space="preserve"> </w:t>
            </w:r>
            <w:proofErr w:type="spellStart"/>
            <w:r>
              <w:t>angustifolius</w:t>
            </w:r>
            <w:proofErr w:type="spellEnd"/>
            <w:r>
              <w:t>). Food Bioscience. 31: 100401.</w:t>
            </w:r>
          </w:p>
          <w:p w14:paraId="5FE1106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Nur </w:t>
            </w:r>
            <w:proofErr w:type="spellStart"/>
            <w:r>
              <w:t>Fatin</w:t>
            </w:r>
            <w:proofErr w:type="spellEnd"/>
            <w:r>
              <w:t xml:space="preserve"> </w:t>
            </w:r>
            <w:proofErr w:type="spellStart"/>
            <w:r>
              <w:t>Inazlina</w:t>
            </w:r>
            <w:proofErr w:type="spellEnd"/>
            <w:r>
              <w:t xml:space="preserve"> Noor Azman,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Khoo Hock </w:t>
            </w:r>
            <w:proofErr w:type="spellStart"/>
            <w:r>
              <w:t>Eng</w:t>
            </w:r>
            <w:proofErr w:type="spellEnd"/>
            <w:r>
              <w:t xml:space="preserve">, Muhammad Rizal </w:t>
            </w:r>
            <w:proofErr w:type="spellStart"/>
            <w:r>
              <w:t>Razman</w:t>
            </w:r>
            <w:proofErr w:type="spellEnd"/>
            <w:r>
              <w:t>. 2019. Antioxidant Properties of Fresh and Frozen Peels of Citrus Species. Current Research in Nutrition and Food Science Journal, Vol. 07, No. (2) 2019, Pg. 331-339 (ISSN: 2347-467X)</w:t>
            </w:r>
          </w:p>
          <w:p w14:paraId="583FE177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Yakubu Abdulrahman,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Peng </w:t>
            </w:r>
            <w:proofErr w:type="spellStart"/>
            <w:r>
              <w:t>Loh</w:t>
            </w:r>
            <w:proofErr w:type="spellEnd"/>
            <w:r>
              <w:t xml:space="preserve"> and </w:t>
            </w:r>
            <w:proofErr w:type="spellStart"/>
            <w:r>
              <w:t>Sabariah</w:t>
            </w:r>
            <w:proofErr w:type="spellEnd"/>
            <w:r>
              <w:t xml:space="preserve"> Md Noor. 2019. Pre-diagnostic role of platelet miRNA in coronary heart disease of healthy overweight subjects via platelet leptin receptor activation. Biomedical Research and Therapy 6 (6): 3248-3261.</w:t>
            </w:r>
          </w:p>
          <w:p w14:paraId="25B97117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Yakubu Abdulrahman,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Loh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Peng, </w:t>
            </w:r>
            <w:proofErr w:type="spellStart"/>
            <w:r>
              <w:t>Irmi</w:t>
            </w:r>
            <w:proofErr w:type="spellEnd"/>
            <w:r>
              <w:t xml:space="preserve"> Zarina Ismail, </w:t>
            </w:r>
            <w:proofErr w:type="spellStart"/>
            <w:r>
              <w:t>Sabariah</w:t>
            </w:r>
            <w:proofErr w:type="spellEnd"/>
            <w:r>
              <w:t xml:space="preserve"> Md Noor. 2019. Effect of yellow stripe </w:t>
            </w:r>
            <w:proofErr w:type="spellStart"/>
            <w:r>
              <w:t>scad</w:t>
            </w:r>
            <w:proofErr w:type="spellEnd"/>
            <w:r>
              <w:t xml:space="preserve"> (YSS) fish consumption on platelet microparticles markers: Can YYS fish be like salmon in overweight healthy individual? Biomedical Research and Therapy, 6(8): 3336-3346.</w:t>
            </w:r>
          </w:p>
          <w:p w14:paraId="5634578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 xml:space="preserve">Abdulrahman Yakubu,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Peng </w:t>
            </w:r>
            <w:proofErr w:type="spellStart"/>
            <w:r>
              <w:t>Loh</w:t>
            </w:r>
            <w:proofErr w:type="spellEnd"/>
            <w:r>
              <w:t xml:space="preserve"> and </w:t>
            </w:r>
            <w:proofErr w:type="spellStart"/>
            <w:r>
              <w:t>Sabariah</w:t>
            </w:r>
            <w:proofErr w:type="spellEnd"/>
            <w:r>
              <w:t xml:space="preserve"> Md Noor. 2019. Can Yellow Stripe </w:t>
            </w:r>
            <w:proofErr w:type="spellStart"/>
            <w:r>
              <w:t>Scad</w:t>
            </w:r>
            <w:proofErr w:type="spellEnd"/>
            <w:r>
              <w:t xml:space="preserve"> Compete with Salmon on Its Role in Platelet Phospholipid Membrane and Its Cardiovascular Benefits? Journal of Obesity, vol. 2019, Article ID 4929131, 10 pages, 2019. https://doi.org/10.1155/2019/4929131.</w:t>
            </w:r>
          </w:p>
          <w:p w14:paraId="310F67AF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Ahmad </w:t>
            </w:r>
            <w:proofErr w:type="spellStart"/>
            <w:r>
              <w:t>Syazrin</w:t>
            </w:r>
            <w:proofErr w:type="spellEnd"/>
            <w:r>
              <w:t xml:space="preserve"> </w:t>
            </w:r>
            <w:proofErr w:type="spellStart"/>
            <w:r>
              <w:t>Roslan</w:t>
            </w:r>
            <w:proofErr w:type="spellEnd"/>
            <w:r>
              <w:t xml:space="preserve">, </w:t>
            </w:r>
            <w:proofErr w:type="spellStart"/>
            <w:r>
              <w:t>Yoshito</w:t>
            </w:r>
            <w:proofErr w:type="spellEnd"/>
            <w:r>
              <w:t xml:space="preserve"> Ando,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 and Amin Ismail. 2019. Effect of Glucose and Ascorbic Acid on Total Phenolic Content Estimation of Green Tea and Commercial Fruit Juices by Using </w:t>
            </w:r>
            <w:proofErr w:type="spellStart"/>
            <w:r>
              <w:t>Folin</w:t>
            </w:r>
            <w:proofErr w:type="spellEnd"/>
            <w:r>
              <w:t xml:space="preserve"> </w:t>
            </w:r>
            <w:proofErr w:type="spellStart"/>
            <w:r>
              <w:t>Ciocalteu</w:t>
            </w:r>
            <w:proofErr w:type="spellEnd"/>
            <w:r>
              <w:t xml:space="preserve"> and Fast Blue BB Assays Journal of Tropical Agricultural Science. </w:t>
            </w:r>
            <w:proofErr w:type="spellStart"/>
            <w:r>
              <w:t>Pertanika</w:t>
            </w:r>
            <w:proofErr w:type="spellEnd"/>
            <w:r>
              <w:t xml:space="preserve"> J. Trop. Agric. Sc. 42 (2): 545 - 556 (2019).</w:t>
            </w:r>
          </w:p>
          <w:p w14:paraId="3709658A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Nurdiyana</w:t>
            </w:r>
            <w:proofErr w:type="spellEnd"/>
            <w:r>
              <w:t xml:space="preserve"> Abdul </w:t>
            </w:r>
            <w:proofErr w:type="spellStart"/>
            <w:r>
              <w:t>Manap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Hazilawati</w:t>
            </w:r>
            <w:proofErr w:type="spellEnd"/>
            <w:r>
              <w:t xml:space="preserve"> Hamzah, </w:t>
            </w:r>
            <w:proofErr w:type="spellStart"/>
            <w:r>
              <w:t>Sharida</w:t>
            </w:r>
            <w:proofErr w:type="spellEnd"/>
            <w:r>
              <w:t xml:space="preserve"> </w:t>
            </w:r>
            <w:proofErr w:type="spellStart"/>
            <w:r>
              <w:t>Fakurazi</w:t>
            </w:r>
            <w:proofErr w:type="spellEnd"/>
            <w:r>
              <w:t xml:space="preserve">. 2019. Evaluation of acute toxicity induced by supercritical carbon dioxide extract of </w:t>
            </w:r>
            <w:proofErr w:type="spellStart"/>
            <w:r>
              <w:t>Canarium</w:t>
            </w:r>
            <w:proofErr w:type="spellEnd"/>
            <w:r>
              <w:t xml:space="preserve"> </w:t>
            </w:r>
            <w:proofErr w:type="spellStart"/>
            <w:r>
              <w:t>odontophyllum</w:t>
            </w:r>
            <w:proofErr w:type="spellEnd"/>
            <w:r>
              <w:t xml:space="preserve"> (CO) </w:t>
            </w:r>
            <w:proofErr w:type="spellStart"/>
            <w:r>
              <w:t>Miq</w:t>
            </w:r>
            <w:proofErr w:type="spellEnd"/>
            <w:r>
              <w:t>. pulp oil in SPF Sprague-Dawley Rats. Malaysian Journal of Medical and Health Sciences. Malaysian Journal of Medicine and Health Sciences 15(SP1): 113-119, April 2019</w:t>
            </w:r>
          </w:p>
          <w:p w14:paraId="7E89251D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Azliana</w:t>
            </w:r>
            <w:proofErr w:type="spellEnd"/>
            <w:r>
              <w:t xml:space="preserve"> Abu Bakar Sajak,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Hazilawati</w:t>
            </w:r>
            <w:proofErr w:type="spellEnd"/>
            <w:r>
              <w:t xml:space="preserve"> Hamzah, </w:t>
            </w:r>
            <w:proofErr w:type="spellStart"/>
            <w:r>
              <w:t>Faridah</w:t>
            </w:r>
            <w:proofErr w:type="spellEnd"/>
            <w:r>
              <w:t xml:space="preserve"> Abas. 2019. Phenolic Content and α–glucosidase Inhibitory Activity of Herbal Mixture: Effect of Processing Technique and Honey Ratio. Malaysian Journal of Medical and Health Sciences. (Accepted Nov 2018).</w:t>
            </w:r>
          </w:p>
          <w:p w14:paraId="6E61BC6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Muhammad </w:t>
            </w:r>
            <w:proofErr w:type="spellStart"/>
            <w:r>
              <w:t>Syafiq</w:t>
            </w:r>
            <w:proofErr w:type="spellEnd"/>
            <w:r>
              <w:t xml:space="preserve">, M. S.,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</w:t>
            </w:r>
            <w:r>
              <w:t xml:space="preserve">., Khoo, H. E. 2019. Comparison of antioxidants content and activity of </w:t>
            </w:r>
            <w:proofErr w:type="spellStart"/>
            <w:r>
              <w:t>Nephelium</w:t>
            </w:r>
            <w:proofErr w:type="spellEnd"/>
            <w:r>
              <w:t xml:space="preserve"> </w:t>
            </w:r>
            <w:proofErr w:type="spellStart"/>
            <w:r>
              <w:t>mutabile</w:t>
            </w:r>
            <w:proofErr w:type="spellEnd"/>
            <w:r>
              <w:t xml:space="preserve"> Rind Extracted using Ethanol and Water. Journal of Food Measurement and Characterization. DOI: 10.1007/s11694-019-00114-7: 1-6 (Online first)</w:t>
            </w:r>
          </w:p>
          <w:p w14:paraId="3685806E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Hock </w:t>
            </w:r>
            <w:proofErr w:type="spellStart"/>
            <w:r>
              <w:t>Eng</w:t>
            </w:r>
            <w:proofErr w:type="spellEnd"/>
            <w:r>
              <w:t xml:space="preserve"> Khoo,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and Noor </w:t>
            </w:r>
            <w:proofErr w:type="spellStart"/>
            <w:r>
              <w:t>Atiqah</w:t>
            </w:r>
            <w:proofErr w:type="spellEnd"/>
            <w:r>
              <w:t xml:space="preserve"> </w:t>
            </w:r>
            <w:proofErr w:type="spellStart"/>
            <w:r>
              <w:t>Aizan</w:t>
            </w:r>
            <w:proofErr w:type="spellEnd"/>
            <w:r>
              <w:t xml:space="preserve"> Abd Kadir. 2019. Fatty Acid Profile, Phytochemicals, and Other Substances in </w:t>
            </w:r>
            <w:proofErr w:type="spellStart"/>
            <w:r>
              <w:t>Canarium</w:t>
            </w:r>
            <w:proofErr w:type="spellEnd"/>
            <w:r>
              <w:t xml:space="preserve"> </w:t>
            </w:r>
            <w:proofErr w:type="spellStart"/>
            <w:r>
              <w:t>odontophyllum</w:t>
            </w:r>
            <w:proofErr w:type="spellEnd"/>
            <w:r>
              <w:t xml:space="preserve"> Fat Extracted using Supercritical Carbon Dioxide. Frontiers Chemistry. Vol 7, January 2019. </w:t>
            </w:r>
            <w:proofErr w:type="spellStart"/>
            <w:r>
              <w:t>doi</w:t>
            </w:r>
            <w:proofErr w:type="spellEnd"/>
            <w:r>
              <w:t>: 10.3389/fchem.2019.00005, pp 1-16</w:t>
            </w:r>
          </w:p>
          <w:p w14:paraId="3A9CBAAD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Hock </w:t>
            </w:r>
            <w:proofErr w:type="spellStart"/>
            <w:r>
              <w:t>Eng</w:t>
            </w:r>
            <w:proofErr w:type="spellEnd"/>
            <w:r>
              <w:t xml:space="preserve"> Khoo, See Meng Lim,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2019. Evident-based therapeutic Effect of Anthocyanin from Foods. Pakistan Journal of Nutrition. 18(1): 1-11. DOI: 10.3923/pjn.2019</w:t>
            </w:r>
          </w:p>
          <w:p w14:paraId="29B259F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Noor </w:t>
            </w:r>
            <w:proofErr w:type="spellStart"/>
            <w:r>
              <w:t>Atiqah</w:t>
            </w:r>
            <w:proofErr w:type="spellEnd"/>
            <w:r>
              <w:t xml:space="preserve"> </w:t>
            </w:r>
            <w:proofErr w:type="spellStart"/>
            <w:r>
              <w:t>Aizan</w:t>
            </w:r>
            <w:proofErr w:type="spellEnd"/>
            <w:r>
              <w:t xml:space="preserve"> Abdul Kadir,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Faridah</w:t>
            </w:r>
            <w:proofErr w:type="spellEnd"/>
            <w:r>
              <w:t xml:space="preserve"> Abas and </w:t>
            </w:r>
            <w:proofErr w:type="spellStart"/>
            <w:r>
              <w:t>Intan</w:t>
            </w:r>
            <w:proofErr w:type="spellEnd"/>
            <w:r>
              <w:t xml:space="preserve"> </w:t>
            </w:r>
            <w:proofErr w:type="spellStart"/>
            <w:r>
              <w:t>Safinar</w:t>
            </w:r>
            <w:proofErr w:type="spellEnd"/>
            <w:r>
              <w:t xml:space="preserve"> Ismail. 2018. Beneficial Effect of Supercritical carbon dioxide </w:t>
            </w:r>
            <w:proofErr w:type="spellStart"/>
            <w:r>
              <w:t>Ectracted</w:t>
            </w:r>
            <w:proofErr w:type="spellEnd"/>
            <w:r>
              <w:t xml:space="preserve"> (SC-CO2) </w:t>
            </w:r>
            <w:proofErr w:type="spellStart"/>
            <w:r>
              <w:t>dabai</w:t>
            </w:r>
            <w:proofErr w:type="spellEnd"/>
            <w:r>
              <w:t xml:space="preserve"> (</w:t>
            </w:r>
            <w:proofErr w:type="spellStart"/>
            <w:r>
              <w:t>Canarium</w:t>
            </w:r>
            <w:proofErr w:type="spellEnd"/>
            <w:r>
              <w:t xml:space="preserve"> </w:t>
            </w:r>
            <w:proofErr w:type="spellStart"/>
            <w:r>
              <w:t>odontophyllum</w:t>
            </w:r>
            <w:proofErr w:type="spellEnd"/>
            <w:r>
              <w:t>) pulp oil in hypercholesterolemia-induced SPF Sprague –Dawley rats. Natural Products Communications. 13(12): 1583-1586.</w:t>
            </w:r>
          </w:p>
          <w:p w14:paraId="3A320769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Yu Wei </w:t>
            </w:r>
            <w:proofErr w:type="spellStart"/>
            <w:r>
              <w:t>Kok</w:t>
            </w:r>
            <w:proofErr w:type="spellEnd"/>
            <w:r>
              <w:t xml:space="preserve">, Hock </w:t>
            </w:r>
            <w:proofErr w:type="spellStart"/>
            <w:r>
              <w:t>Eng</w:t>
            </w:r>
            <w:proofErr w:type="spellEnd"/>
            <w:r>
              <w:t xml:space="preserve"> Khoo. 2018. Antioxidants Content and Activity of Polyphenol-Rich Mixtures. Journal of Engineering and Applied Sciences. 13 (Special Issue 9): 6973-6979.</w:t>
            </w:r>
          </w:p>
          <w:p w14:paraId="2C532734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Poh</w:t>
            </w:r>
            <w:proofErr w:type="spellEnd"/>
            <w:r>
              <w:t xml:space="preserve"> Yee Choo,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Hock </w:t>
            </w:r>
            <w:proofErr w:type="spellStart"/>
            <w:r>
              <w:t>Eng</w:t>
            </w:r>
            <w:proofErr w:type="spellEnd"/>
            <w:r>
              <w:t xml:space="preserve"> Khoo. 2018. Cooking methods affect total fatty acid composition and retention of DHA and EPA in selected fish fillets. </w:t>
            </w:r>
            <w:proofErr w:type="spellStart"/>
            <w:r>
              <w:t>ScienceAsia</w:t>
            </w:r>
            <w:proofErr w:type="spellEnd"/>
            <w:r>
              <w:t xml:space="preserve"> 44: 92-101.</w:t>
            </w:r>
          </w:p>
          <w:p w14:paraId="0D13CA7D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Nura</w:t>
            </w:r>
            <w:proofErr w:type="spellEnd"/>
            <w:r>
              <w:t xml:space="preserve"> </w:t>
            </w:r>
            <w:proofErr w:type="spellStart"/>
            <w:r>
              <w:t>Ruhaya</w:t>
            </w:r>
            <w:proofErr w:type="spellEnd"/>
            <w:r>
              <w:t xml:space="preserve"> Abdul Halim,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Hayati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Yusof, </w:t>
            </w:r>
            <w:proofErr w:type="spellStart"/>
            <w:r>
              <w:t>Norizah</w:t>
            </w:r>
            <w:proofErr w:type="spellEnd"/>
            <w:r>
              <w:t xml:space="preserve"> </w:t>
            </w:r>
            <w:proofErr w:type="spellStart"/>
            <w:r>
              <w:t>Mhd</w:t>
            </w:r>
            <w:proofErr w:type="spellEnd"/>
            <w:r>
              <w:t xml:space="preserve"> </w:t>
            </w:r>
            <w:proofErr w:type="spellStart"/>
            <w:r>
              <w:t>Sarbon</w:t>
            </w:r>
            <w:proofErr w:type="spellEnd"/>
            <w:r>
              <w:t>. 2018. Antioxidant and anticancer activities of enzymatic eel (</w:t>
            </w:r>
            <w:proofErr w:type="spellStart"/>
            <w:r>
              <w:t>monopterus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) protein hydrolysate as influenced by different molecular weight. </w:t>
            </w:r>
            <w:proofErr w:type="spellStart"/>
            <w:r>
              <w:t>Biocatalysis</w:t>
            </w:r>
            <w:proofErr w:type="spellEnd"/>
            <w:r>
              <w:t xml:space="preserve"> and Agricultural Biotechnology. 16, 10-16.</w:t>
            </w:r>
          </w:p>
          <w:p w14:paraId="4B4BD3A8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Noor </w:t>
            </w:r>
            <w:proofErr w:type="spellStart"/>
            <w:r>
              <w:t>Atiqah</w:t>
            </w:r>
            <w:proofErr w:type="spellEnd"/>
            <w:r>
              <w:t xml:space="preserve"> </w:t>
            </w:r>
            <w:proofErr w:type="spellStart"/>
            <w:r>
              <w:t>Aizan</w:t>
            </w:r>
            <w:proofErr w:type="spellEnd"/>
            <w:r>
              <w:t xml:space="preserve">, Abd Kadir &amp;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,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2017. Dietary Fatty Acids and Edible Fruit Oil: Potential Therapy for Heart. </w:t>
            </w:r>
            <w:proofErr w:type="spellStart"/>
            <w:r>
              <w:t>Pertanika</w:t>
            </w:r>
            <w:proofErr w:type="spellEnd"/>
            <w:r>
              <w:t xml:space="preserve"> Journal of Scholarly Research Reviews. 3(2): 45-55. (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KM Portal </w:t>
            </w: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sbb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PDF </w:t>
            </w:r>
            <w:proofErr w:type="spellStart"/>
            <w:r>
              <w:t>lambat</w:t>
            </w:r>
            <w:proofErr w:type="spellEnd"/>
            <w:r>
              <w:t>).</w:t>
            </w:r>
          </w:p>
          <w:p w14:paraId="3703C15A" w14:textId="05D7C243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Nur </w:t>
            </w:r>
            <w:proofErr w:type="spellStart"/>
            <w:r>
              <w:t>Arina</w:t>
            </w:r>
            <w:proofErr w:type="spellEnd"/>
            <w:r>
              <w:t xml:space="preserve"> Ahmad Jelani, </w:t>
            </w:r>
            <w:proofErr w:type="spellStart"/>
            <w:r>
              <w:t>Nurdiyana</w:t>
            </w:r>
            <w:proofErr w:type="spellEnd"/>
            <w:r>
              <w:t xml:space="preserve"> Abdul </w:t>
            </w:r>
            <w:proofErr w:type="spellStart"/>
            <w:r>
              <w:t>Manap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Hock </w:t>
            </w:r>
            <w:proofErr w:type="spellStart"/>
            <w:r>
              <w:t>Eng</w:t>
            </w:r>
            <w:proofErr w:type="spellEnd"/>
            <w:r>
              <w:t xml:space="preserve"> Khoo, Chin Xuan Tan, </w:t>
            </w:r>
            <w:proofErr w:type="spellStart"/>
            <w:r>
              <w:t>Suryati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Alinafiah</w:t>
            </w:r>
            <w:proofErr w:type="spellEnd"/>
            <w:r>
              <w:t xml:space="preserve">. 2017. Comparison of Fatty Acid Profiles and Antioxidant Properties of </w:t>
            </w:r>
            <w:proofErr w:type="spellStart"/>
            <w:r>
              <w:t>Dabai</w:t>
            </w:r>
            <w:proofErr w:type="spellEnd"/>
            <w:r>
              <w:t xml:space="preserve"> Oil Extracted Using Hexane and Supercritical Carbon Dioxide. </w:t>
            </w:r>
            <w:proofErr w:type="spellStart"/>
            <w:r>
              <w:t>ScienceAsia</w:t>
            </w:r>
            <w:proofErr w:type="spellEnd"/>
            <w:r>
              <w:t xml:space="preserve">. 43: 347-357. </w:t>
            </w:r>
          </w:p>
          <w:p w14:paraId="261D7410" w14:textId="3B17682C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Chang W.L., </w:t>
            </w:r>
            <w:proofErr w:type="spellStart"/>
            <w:r>
              <w:t>Loh</w:t>
            </w:r>
            <w:proofErr w:type="spellEnd"/>
            <w:r>
              <w:t xml:space="preserve"> S.P.,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 xml:space="preserve">., Md Noor S., Ismail I.Z.  2017 Randomized, Two-Period, Crossover Trial Comparing </w:t>
            </w:r>
            <w:proofErr w:type="spellStart"/>
            <w:r>
              <w:t>Yellowstripe</w:t>
            </w:r>
            <w:proofErr w:type="spellEnd"/>
            <w:r>
              <w:t xml:space="preserve"> </w:t>
            </w:r>
            <w:proofErr w:type="spellStart"/>
            <w:r>
              <w:t>Scad</w:t>
            </w:r>
            <w:proofErr w:type="spellEnd"/>
            <w:r>
              <w:t xml:space="preserve"> and Salmon on Cardioprotective Effects: Preliminary Findings at First Trial Period. December 2017. International Journal of Cardiology 249:</w:t>
            </w:r>
            <w:r w:rsidR="00BC0E16">
              <w:t xml:space="preserve"> </w:t>
            </w:r>
            <w:r>
              <w:t>S14. (</w:t>
            </w:r>
            <w:proofErr w:type="spellStart"/>
            <w:r w:rsidR="00BC0E16">
              <w:t>doi</w:t>
            </w:r>
            <w:proofErr w:type="spellEnd"/>
            <w:r w:rsidR="00BC0E16">
              <w:t>: 10.1016/j.ijcard</w:t>
            </w:r>
            <w:r>
              <w:t>.2017.09.065)</w:t>
            </w:r>
          </w:p>
          <w:p w14:paraId="52FA3F89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Norhanim</w:t>
            </w:r>
            <w:proofErr w:type="spellEnd"/>
            <w:r>
              <w:t xml:space="preserve"> </w:t>
            </w:r>
            <w:proofErr w:type="spellStart"/>
            <w:r>
              <w:t>Nordin</w:t>
            </w:r>
            <w:proofErr w:type="spellEnd"/>
            <w:r>
              <w:t xml:space="preserve">, </w:t>
            </w:r>
            <w:proofErr w:type="spellStart"/>
            <w:r>
              <w:t>Rosnah</w:t>
            </w:r>
            <w:proofErr w:type="spellEnd"/>
            <w:r>
              <w:t xml:space="preserve"> </w:t>
            </w:r>
            <w:proofErr w:type="spellStart"/>
            <w:r>
              <w:t>Shamsudin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Mohammad Effendy </w:t>
            </w:r>
            <w:proofErr w:type="spellStart"/>
            <w:r>
              <w:t>Ya’acob</w:t>
            </w:r>
            <w:proofErr w:type="spellEnd"/>
            <w:r>
              <w:t>. 2017. Dry Matter, Moisture, Ash and Crude Fibre Content in Distinct Segments of ‘Durian Kampung’ Husk. International Journal of Chemical and Materials Engineering. 11(12). 762-766.</w:t>
            </w:r>
          </w:p>
          <w:p w14:paraId="65644DA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Chang WL,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 xml:space="preserve">, </w:t>
            </w:r>
            <w:proofErr w:type="spellStart"/>
            <w:r>
              <w:t>Sabariah</w:t>
            </w:r>
            <w:proofErr w:type="spellEnd"/>
            <w:r>
              <w:t xml:space="preserve"> MN, </w:t>
            </w:r>
            <w:proofErr w:type="spellStart"/>
            <w:r>
              <w:t>Irmi</w:t>
            </w:r>
            <w:proofErr w:type="spellEnd"/>
            <w:r>
              <w:t xml:space="preserve"> Zarina I &amp; </w:t>
            </w:r>
            <w:proofErr w:type="spellStart"/>
            <w:r>
              <w:t>Loh</w:t>
            </w:r>
            <w:proofErr w:type="spellEnd"/>
            <w:r>
              <w:t xml:space="preserve"> SP. 2017. Effects of Consuming </w:t>
            </w:r>
            <w:proofErr w:type="spellStart"/>
            <w:r>
              <w:t>Yellowstripe</w:t>
            </w:r>
            <w:proofErr w:type="spellEnd"/>
            <w:r>
              <w:t xml:space="preserve"> </w:t>
            </w:r>
            <w:proofErr w:type="spellStart"/>
            <w:r>
              <w:t>Scad</w:t>
            </w:r>
            <w:proofErr w:type="spellEnd"/>
            <w:r>
              <w:t xml:space="preserve"> versus Salmon on Lipid Profile, Fasting Glucose, Body Weight Status and Blood Pressure among Healthy Overweight Malaysian Adults. Malaysian Journal of Nutrition. 23(3): 343-352.</w:t>
            </w:r>
          </w:p>
          <w:p w14:paraId="5404B6B2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Shuk</w:t>
            </w:r>
            <w:proofErr w:type="spellEnd"/>
            <w:r>
              <w:t xml:space="preserve"> Ching </w:t>
            </w:r>
            <w:proofErr w:type="spellStart"/>
            <w:r>
              <w:t>Loh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Suk </w:t>
            </w:r>
            <w:proofErr w:type="spellStart"/>
            <w:r>
              <w:t>Huei</w:t>
            </w:r>
            <w:proofErr w:type="spellEnd"/>
            <w:r>
              <w:t xml:space="preserve"> Chan, Hock </w:t>
            </w:r>
            <w:proofErr w:type="spellStart"/>
            <w:r>
              <w:t>Eng</w:t>
            </w:r>
            <w:proofErr w:type="spellEnd"/>
            <w:r>
              <w:t xml:space="preserve"> Khoo. 2017. Extracts of Peel and Different Parts of MD2 Pineapple as Potent Nutraceuticals. Thai Journal of Pharmaceutical Sciences. 41 (5th </w:t>
            </w:r>
            <w:proofErr w:type="spellStart"/>
            <w:r>
              <w:t>IPNaCS</w:t>
            </w:r>
            <w:proofErr w:type="spellEnd"/>
            <w:r>
              <w:t xml:space="preserve"> Conference Issue), 49-52.</w:t>
            </w:r>
          </w:p>
          <w:p w14:paraId="53E1A421" w14:textId="685719CF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 xml:space="preserve">Suk </w:t>
            </w:r>
            <w:proofErr w:type="spellStart"/>
            <w:r>
              <w:t>Huei</w:t>
            </w:r>
            <w:proofErr w:type="spellEnd"/>
            <w:r>
              <w:t xml:space="preserve"> Chan,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Amin Ismail, Nurul </w:t>
            </w:r>
            <w:proofErr w:type="spellStart"/>
            <w:r>
              <w:t>Husna</w:t>
            </w:r>
            <w:proofErr w:type="spellEnd"/>
            <w:r>
              <w:t xml:space="preserve"> </w:t>
            </w:r>
            <w:proofErr w:type="spellStart"/>
            <w:r>
              <w:t>Shafie</w:t>
            </w:r>
            <w:proofErr w:type="spellEnd"/>
            <w:r>
              <w:t xml:space="preserve">. 2017. Total Phenolics and Antioxidant Properties of </w:t>
            </w:r>
            <w:r w:rsidR="00BC0E16">
              <w:t>Red-Hot</w:t>
            </w:r>
            <w:r>
              <w:t xml:space="preserve"> Chilli Peppers of Different Varieties in Malaysia as Potent Nutraceutical. Thai Journal of Pharmaceutical Sciences. 41 (5th </w:t>
            </w:r>
            <w:proofErr w:type="spellStart"/>
            <w:r>
              <w:t>IPNaCS</w:t>
            </w:r>
            <w:proofErr w:type="spellEnd"/>
            <w:r>
              <w:t xml:space="preserve"> Conference Issue), 45-48.</w:t>
            </w:r>
          </w:p>
          <w:p w14:paraId="12625B2F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K.A. </w:t>
            </w:r>
            <w:proofErr w:type="spellStart"/>
            <w:r>
              <w:t>Adekola</w:t>
            </w:r>
            <w:proofErr w:type="spellEnd"/>
            <w:r>
              <w:t xml:space="preserve">, A.B. Salleh, U.H. </w:t>
            </w:r>
            <w:proofErr w:type="spellStart"/>
            <w:r>
              <w:t>Zaidan</w:t>
            </w:r>
            <w:proofErr w:type="spellEnd"/>
            <w:r>
              <w:t xml:space="preserve">, </w:t>
            </w:r>
            <w:r w:rsidRPr="00CD1EAB">
              <w:rPr>
                <w:b/>
                <w:bCs/>
              </w:rPr>
              <w:t xml:space="preserve">A.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E. </w:t>
            </w:r>
            <w:proofErr w:type="spellStart"/>
            <w:r>
              <w:t>Chiavaro</w:t>
            </w:r>
            <w:proofErr w:type="spellEnd"/>
            <w:r>
              <w:t xml:space="preserve">, M. </w:t>
            </w:r>
            <w:proofErr w:type="spellStart"/>
            <w:r>
              <w:t>Paciulli</w:t>
            </w:r>
            <w:proofErr w:type="spellEnd"/>
            <w:r>
              <w:t xml:space="preserve"> &amp; J.M.N. </w:t>
            </w:r>
            <w:proofErr w:type="spellStart"/>
            <w:r>
              <w:t>Marikkar</w:t>
            </w:r>
            <w:proofErr w:type="spellEnd"/>
            <w:r>
              <w:t>. 2017. Total Phenolic Content, Antioxidative and Antidiabetic Properties of Coconut (Cocos nucifera L.) Testa and Selected Bean Seed Coats. Italian Journal of Food Science, 29, 741- 753.</w:t>
            </w:r>
          </w:p>
          <w:p w14:paraId="6250E1B4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Azimah</w:t>
            </w:r>
            <w:proofErr w:type="spellEnd"/>
            <w:r>
              <w:t xml:space="preserve">, R,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</w:t>
            </w:r>
            <w:r>
              <w:t>., and Khoo, H. E. 2017 Stability of blended palm oils during potato frying. International Food Research Journal. 24(5): 2122-2127 (October 2017).</w:t>
            </w:r>
          </w:p>
          <w:p w14:paraId="53EFA91B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Tan Chin Xuan and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2017. Dietary </w:t>
            </w:r>
            <w:proofErr w:type="spellStart"/>
            <w:r>
              <w:t>fiber</w:t>
            </w:r>
            <w:proofErr w:type="spellEnd"/>
            <w:r>
              <w:t xml:space="preserve"> and total phenolic content of selected raw and cooked beans and its combinations. International Food Research Journal.  24(5): 1863-1868 (October 2017).</w:t>
            </w:r>
          </w:p>
          <w:p w14:paraId="2C374E2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Hock </w:t>
            </w:r>
            <w:proofErr w:type="spellStart"/>
            <w:r>
              <w:t>Eng</w:t>
            </w:r>
            <w:proofErr w:type="spellEnd"/>
            <w:r>
              <w:t xml:space="preserve"> Khoo,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Sou</w:t>
            </w:r>
            <w:proofErr w:type="spellEnd"/>
            <w:r>
              <w:t xml:space="preserve"> Teng Tang &amp; See Meng Lim. 2017. Anthocyanidins and anthocyanins: </w:t>
            </w:r>
            <w:proofErr w:type="spellStart"/>
            <w:r>
              <w:t>colored</w:t>
            </w:r>
            <w:proofErr w:type="spellEnd"/>
            <w:r>
              <w:t xml:space="preserve"> pigments as food, pharmaceutical ingredients, and the potential health benefits. Food &amp; Nutrition Research. Vol. 61, 1361779. https://doi.org/10.1080/16546628.2017.1361779.</w:t>
            </w:r>
          </w:p>
          <w:p w14:paraId="60BEADE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Muhammad Shafiq MS and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 xml:space="preserve">. 2017. Comparison of Antioxidant Content and Activity of </w:t>
            </w:r>
            <w:proofErr w:type="spellStart"/>
            <w:r>
              <w:t>Nephelium</w:t>
            </w:r>
            <w:proofErr w:type="spellEnd"/>
            <w:r>
              <w:t xml:space="preserve"> </w:t>
            </w:r>
            <w:proofErr w:type="spellStart"/>
            <w:r>
              <w:t>mutabile</w:t>
            </w:r>
            <w:proofErr w:type="spellEnd"/>
            <w:r>
              <w:t xml:space="preserve"> Rind Extracted Using Ethanol and Water. Malaysian Journal of Nutrition 23(</w:t>
            </w:r>
            <w:proofErr w:type="spellStart"/>
            <w:r>
              <w:t>Suppl</w:t>
            </w:r>
            <w:proofErr w:type="spellEnd"/>
            <w:r>
              <w:t>). S140.</w:t>
            </w:r>
          </w:p>
          <w:p w14:paraId="0E222813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Nur Amirah </w:t>
            </w:r>
            <w:proofErr w:type="spellStart"/>
            <w:r>
              <w:t>Unzil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>. 2017. Proximate Composition of Chicken Burgers from Night Stall and Fast Food Restaurants. Malaysian Journal of Nutrition 23(</w:t>
            </w:r>
            <w:proofErr w:type="spellStart"/>
            <w:r>
              <w:t>Suppl</w:t>
            </w:r>
            <w:proofErr w:type="spellEnd"/>
            <w:r>
              <w:t>). S137.</w:t>
            </w:r>
          </w:p>
          <w:p w14:paraId="4F681A5F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Lee Hong Tee, Bao Yang, </w:t>
            </w:r>
            <w:proofErr w:type="spellStart"/>
            <w:r>
              <w:t>Beng-Ti</w:t>
            </w:r>
            <w:proofErr w:type="spellEnd"/>
            <w:r>
              <w:t xml:space="preserve"> </w:t>
            </w:r>
            <w:proofErr w:type="spellStart"/>
            <w:r>
              <w:t>Tey</w:t>
            </w:r>
            <w:proofErr w:type="spellEnd"/>
            <w:r>
              <w:t xml:space="preserve">, </w:t>
            </w:r>
            <w:proofErr w:type="spellStart"/>
            <w:r>
              <w:t>Eng</w:t>
            </w:r>
            <w:proofErr w:type="spellEnd"/>
            <w:r>
              <w:t xml:space="preserve">-Seng Chan,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Amin Ismail, Jian Sun, Cheng </w:t>
            </w:r>
            <w:proofErr w:type="spellStart"/>
            <w:r>
              <w:t>Yuon</w:t>
            </w:r>
            <w:proofErr w:type="spellEnd"/>
            <w:r>
              <w:t xml:space="preserve"> Lau, Uma Devi M. </w:t>
            </w:r>
            <w:proofErr w:type="spellStart"/>
            <w:r>
              <w:t>Palanisamy</w:t>
            </w:r>
            <w:proofErr w:type="spellEnd"/>
            <w:r>
              <w:t xml:space="preserve">, Ramakrishnan </w:t>
            </w:r>
            <w:proofErr w:type="spellStart"/>
            <w:r>
              <w:t>Nagasundara</w:t>
            </w:r>
            <w:proofErr w:type="spellEnd"/>
            <w:r>
              <w:t xml:space="preserve"> Ramanan, Krishnamurthy Nagendra </w:t>
            </w:r>
            <w:proofErr w:type="spellStart"/>
            <w:r>
              <w:t>Prasada</w:t>
            </w:r>
            <w:proofErr w:type="spellEnd"/>
            <w:r>
              <w:t xml:space="preserve">. 2017. </w:t>
            </w:r>
            <w:proofErr w:type="spellStart"/>
            <w:r>
              <w:t>Valorization</w:t>
            </w:r>
            <w:proofErr w:type="spellEnd"/>
            <w:r>
              <w:t xml:space="preserve"> of </w:t>
            </w:r>
            <w:proofErr w:type="spellStart"/>
            <w:r>
              <w:t>Dacryodes</w:t>
            </w:r>
            <w:proofErr w:type="spellEnd"/>
            <w:r>
              <w:t xml:space="preserve"> </w:t>
            </w:r>
            <w:proofErr w:type="spellStart"/>
            <w:r>
              <w:t>rostrata</w:t>
            </w:r>
            <w:proofErr w:type="spellEnd"/>
            <w:r>
              <w:t xml:space="preserve"> fruit through the characterization of its oil. Food Chemistry. Food Chemistry 235 (2017) 257–264. </w:t>
            </w:r>
          </w:p>
          <w:p w14:paraId="67C89490" w14:textId="5F9F21E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Fatin</w:t>
            </w:r>
            <w:proofErr w:type="spellEnd"/>
            <w:r>
              <w:t xml:space="preserve"> Najwa, R. &amp;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</w:t>
            </w:r>
            <w:r>
              <w:t xml:space="preserve">. 2017. Comparison of Vitamin C Content in Citrus Fruits by Titration and </w:t>
            </w:r>
            <w:r w:rsidR="00BC0E16">
              <w:t>High-Performance</w:t>
            </w:r>
            <w:r>
              <w:t xml:space="preserve"> Liquid Chromatography Methods. International Food Research Journal. 24(2): 726-733. (April 2017).</w:t>
            </w:r>
          </w:p>
          <w:p w14:paraId="14F8414A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Abubakar, T., </w:t>
            </w:r>
            <w:proofErr w:type="spellStart"/>
            <w:r>
              <w:t>Marikkar</w:t>
            </w:r>
            <w:proofErr w:type="spellEnd"/>
            <w:r>
              <w:t xml:space="preserve">, N., Salleh, A.,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 w:rsidRPr="00CD1EAB">
              <w:rPr>
                <w:b/>
                <w:bCs/>
              </w:rPr>
              <w:t>, A</w:t>
            </w:r>
            <w:r>
              <w:t xml:space="preserve">., </w:t>
            </w:r>
            <w:proofErr w:type="spellStart"/>
            <w:r>
              <w:t>Jivan</w:t>
            </w:r>
            <w:proofErr w:type="spellEnd"/>
            <w:r>
              <w:t>, M. 2017. Evaluation of Brans of Different Rice Varieties for their Antioxidative and Antihyperglycemic Potentials. Journal of Food Biochemistry. 41(2), 1 April 2017, Article number e12295.</w:t>
            </w:r>
          </w:p>
          <w:p w14:paraId="12ED79B8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S.Q. Chang and </w:t>
            </w:r>
            <w:r w:rsidRPr="00CD1EAB">
              <w:rPr>
                <w:b/>
                <w:bCs/>
              </w:rPr>
              <w:t xml:space="preserve">A.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>
              <w:t xml:space="preserve">. 2017. Antioxidant Content and Activity in Different Parts of Pomelo [Citrus </w:t>
            </w:r>
            <w:proofErr w:type="spellStart"/>
            <w:r>
              <w:t>grandis</w:t>
            </w:r>
            <w:proofErr w:type="spellEnd"/>
            <w:r>
              <w:t xml:space="preserve"> (L.) </w:t>
            </w:r>
            <w:proofErr w:type="spellStart"/>
            <w:r>
              <w:t>Osbeck</w:t>
            </w:r>
            <w:proofErr w:type="spellEnd"/>
            <w:r>
              <w:t xml:space="preserve">] By-products. Acta Horticulture. 1152. ISHS 2017. DOI 10.17660/ActaHortic.2017.1152.4. Proc. III International Conference on Agricultural and Food Engineering. Acta </w:t>
            </w:r>
            <w:proofErr w:type="spellStart"/>
            <w:r>
              <w:t>Horticulturae</w:t>
            </w:r>
            <w:proofErr w:type="spellEnd"/>
            <w:r>
              <w:t>. 27-34.</w:t>
            </w:r>
          </w:p>
          <w:p w14:paraId="3B634669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Azimah</w:t>
            </w:r>
            <w:proofErr w:type="spellEnd"/>
            <w:r>
              <w:t xml:space="preserve">, R,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</w:t>
            </w:r>
            <w:r>
              <w:t>., and Khoo, H. E Heat Stability of Fatty Acids of Selected Blended Palm Oils during Potato Frying. 2017. Carpathian Journal of Food Science and Technology, 9(1): 80-89.</w:t>
            </w:r>
          </w:p>
          <w:p w14:paraId="6A90F752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Maryam </w:t>
            </w:r>
            <w:proofErr w:type="spellStart"/>
            <w:r>
              <w:t>Mashmoul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Norhafizah</w:t>
            </w:r>
            <w:proofErr w:type="spellEnd"/>
            <w:r>
              <w:t xml:space="preserve"> </w:t>
            </w:r>
            <w:proofErr w:type="spellStart"/>
            <w:r>
              <w:t>Mohtarrudin</w:t>
            </w:r>
            <w:proofErr w:type="spellEnd"/>
            <w:r>
              <w:t xml:space="preserve">, </w:t>
            </w:r>
            <w:proofErr w:type="spellStart"/>
            <w:r>
              <w:t>Barakatun</w:t>
            </w:r>
            <w:proofErr w:type="spellEnd"/>
            <w:r>
              <w:t xml:space="preserve"> </w:t>
            </w:r>
            <w:proofErr w:type="spellStart"/>
            <w:r>
              <w:t>Nisak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Yusof, </w:t>
            </w:r>
            <w:proofErr w:type="spellStart"/>
            <w:r>
              <w:t>Huzwah</w:t>
            </w:r>
            <w:proofErr w:type="spellEnd"/>
            <w:r>
              <w:t xml:space="preserve"> </w:t>
            </w:r>
            <w:proofErr w:type="spellStart"/>
            <w:r>
              <w:t>Khaza’ai</w:t>
            </w:r>
            <w:proofErr w:type="spellEnd"/>
            <w:r>
              <w:t xml:space="preserve">. 2017. Saffron extract and crocin reduced biomarkers associated with obesity in rats fed a high fat diet. Malaysian Journal of Nutrition. 23(1): 117-127. </w:t>
            </w:r>
          </w:p>
          <w:p w14:paraId="566CE213" w14:textId="3A67CE36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Maryam </w:t>
            </w:r>
            <w:proofErr w:type="spellStart"/>
            <w:r>
              <w:t>Mashmoul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Norhafizah</w:t>
            </w:r>
            <w:proofErr w:type="spellEnd"/>
            <w:r>
              <w:t xml:space="preserve"> </w:t>
            </w:r>
            <w:proofErr w:type="spellStart"/>
            <w:r>
              <w:t>Mohtarrudin</w:t>
            </w:r>
            <w:proofErr w:type="spellEnd"/>
            <w:r>
              <w:t xml:space="preserve">, </w:t>
            </w:r>
            <w:proofErr w:type="spellStart"/>
            <w:r>
              <w:t>Barakatun</w:t>
            </w:r>
            <w:proofErr w:type="spellEnd"/>
            <w:r>
              <w:t xml:space="preserve"> </w:t>
            </w:r>
            <w:proofErr w:type="spellStart"/>
            <w:r>
              <w:t>Nisak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Yusof, </w:t>
            </w:r>
            <w:proofErr w:type="spellStart"/>
            <w:r>
              <w:t>Huzwah</w:t>
            </w:r>
            <w:proofErr w:type="spellEnd"/>
            <w:r>
              <w:t xml:space="preserve"> </w:t>
            </w:r>
            <w:proofErr w:type="spellStart"/>
            <w:r>
              <w:t>Khaza’ai</w:t>
            </w:r>
            <w:proofErr w:type="spellEnd"/>
            <w:r>
              <w:t xml:space="preserve">, Mehdi </w:t>
            </w:r>
            <w:proofErr w:type="spellStart"/>
            <w:r>
              <w:t>Farzadnia</w:t>
            </w:r>
            <w:proofErr w:type="spellEnd"/>
            <w:r>
              <w:t xml:space="preserve">, Mohammad Taher </w:t>
            </w:r>
            <w:proofErr w:type="spellStart"/>
            <w:r>
              <w:t>Boroushaki</w:t>
            </w:r>
            <w:proofErr w:type="spellEnd"/>
            <w:r>
              <w:t xml:space="preserve">. 2016. Histopathological Changes in The Kidney and Pancreatic Tissues Following Eight Weeks Consumption of Saffron in High-Fat Diet Induced Obese Rats. Malaysian Journal of Microscopy. 12: 12-19. </w:t>
            </w:r>
          </w:p>
          <w:p w14:paraId="2A29D23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Fatin</w:t>
            </w:r>
            <w:proofErr w:type="spellEnd"/>
            <w:r>
              <w:t xml:space="preserve"> Najwa Ramli &amp;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2016. A 1H-NMR-Based Metabolomics Investigation on The Effect of Saffron Extract and Crocin on Rats Fed a High Fat Diet. Journal of Metabolomics. 6(2): 88 (ISSN: 2153-0769)</w:t>
            </w:r>
          </w:p>
          <w:p w14:paraId="21723D42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Azila</w:t>
            </w:r>
            <w:proofErr w:type="spellEnd"/>
            <w:r>
              <w:t xml:space="preserve"> Abdul Karim, Nur </w:t>
            </w:r>
            <w:proofErr w:type="spellStart"/>
            <w:r>
              <w:t>Azilah</w:t>
            </w:r>
            <w:proofErr w:type="spellEnd"/>
            <w:r>
              <w:t xml:space="preserve"> Abdullah and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2016. Inhibition Ability of Cocoa Pod Extract on Tyrosinase Activity. Malaysian Cocoa Journal. Vol. 9(1), 139-150.</w:t>
            </w:r>
          </w:p>
          <w:p w14:paraId="36A4C613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Gan Yao Zan and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 xml:space="preserve">. 2016. Antioxidant Properties of Selected Varieties of </w:t>
            </w:r>
            <w:proofErr w:type="spellStart"/>
            <w:r>
              <w:t>Lactuca</w:t>
            </w:r>
            <w:proofErr w:type="spellEnd"/>
            <w:r>
              <w:t xml:space="preserve"> sativa L. International Food Research Journal. 23(6): 2357-2362. </w:t>
            </w:r>
          </w:p>
          <w:p w14:paraId="6A4F8A1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Mashmoul</w:t>
            </w:r>
            <w:proofErr w:type="spellEnd"/>
            <w:r>
              <w:t xml:space="preserve"> M,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 xml:space="preserve">, </w:t>
            </w:r>
            <w:proofErr w:type="spellStart"/>
            <w:r>
              <w:t>Mohtarrudin</w:t>
            </w:r>
            <w:proofErr w:type="spellEnd"/>
            <w:r>
              <w:t xml:space="preserve"> N, </w:t>
            </w:r>
            <w:proofErr w:type="spellStart"/>
            <w:r>
              <w:t>Mohd</w:t>
            </w:r>
            <w:proofErr w:type="spellEnd"/>
            <w:r>
              <w:t xml:space="preserve"> Yusof B, </w:t>
            </w:r>
            <w:proofErr w:type="spellStart"/>
            <w:r>
              <w:t>Khaza’ai</w:t>
            </w:r>
            <w:proofErr w:type="spellEnd"/>
            <w:r>
              <w:t xml:space="preserve"> H, Khoo H, </w:t>
            </w:r>
            <w:proofErr w:type="spellStart"/>
            <w:r>
              <w:t>Farzadnia</w:t>
            </w:r>
            <w:proofErr w:type="spellEnd"/>
            <w:r>
              <w:t xml:space="preserve"> M, </w:t>
            </w:r>
            <w:proofErr w:type="spellStart"/>
            <w:r>
              <w:t>Boroushaki</w:t>
            </w:r>
            <w:proofErr w:type="spellEnd"/>
            <w:r>
              <w:t xml:space="preserve"> M. 2016. Protective Effects of Saffron Extract and Crocin Supplementation on Fatty Liver Tissue of High-Fat Diet-Induced Obese Rats. BMC Complementary and Alternative Medicine 2016, 16:401. DOI 10.1186/s12906-016-1381-9 (Q2)</w:t>
            </w:r>
          </w:p>
          <w:p w14:paraId="087251C1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lastRenderedPageBreak/>
              <w:t>Marikkar</w:t>
            </w:r>
            <w:proofErr w:type="spellEnd"/>
            <w:r>
              <w:t xml:space="preserve">, J. M. N, Tan, S. J., Salleh, A.,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</w:t>
            </w:r>
            <w:r>
              <w:t>. and Shukri, M. A. M. 2016. Evaluation of banana (Musa sp.) flowers of selected varieties for their antioxidative and anti-</w:t>
            </w:r>
            <w:proofErr w:type="spellStart"/>
            <w:r>
              <w:t>hyperglycemic</w:t>
            </w:r>
            <w:proofErr w:type="spellEnd"/>
            <w:r>
              <w:t xml:space="preserve"> potentials. International Food Research Journal 23(5): 1988-1995.</w:t>
            </w:r>
          </w:p>
          <w:p w14:paraId="24B71D13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Tan WL,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>, Noh MFM. 2016. Sodium and Potassium Contents in Selected Salts and Sauces. International Food Research Journal.  23(5): 2181-2186.</w:t>
            </w:r>
          </w:p>
          <w:p w14:paraId="1FE33214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Hock </w:t>
            </w:r>
            <w:proofErr w:type="spellStart"/>
            <w:r>
              <w:t>Eng</w:t>
            </w:r>
            <w:proofErr w:type="spellEnd"/>
            <w:r>
              <w:t xml:space="preserve"> Khoo,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, Kin Weng Kong and Amin Ismail. 2016. Phytochemicals and Medicinal Properties of Indigenous Tropical Fruits with Potential for Commercial Development: A Review. Evidence-Based Complementary and Alternative Medicine.  Article ID 7591951, 1-20(doi.org/10.1155/2016/7591951) (Q2).</w:t>
            </w:r>
          </w:p>
          <w:p w14:paraId="6A04EA60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Azila</w:t>
            </w:r>
            <w:proofErr w:type="spellEnd"/>
            <w:r>
              <w:t xml:space="preserve"> Abdul Karim,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Amin Ismail, </w:t>
            </w:r>
            <w:proofErr w:type="spellStart"/>
            <w:r>
              <w:t>Puziah</w:t>
            </w:r>
            <w:proofErr w:type="spellEnd"/>
            <w:r>
              <w:t xml:space="preserve"> Hashim, Siti </w:t>
            </w:r>
            <w:proofErr w:type="spellStart"/>
            <w:r>
              <w:t>Salwa</w:t>
            </w:r>
            <w:proofErr w:type="spellEnd"/>
            <w:r>
              <w:t xml:space="preserve"> Abd </w:t>
            </w:r>
            <w:proofErr w:type="spellStart"/>
            <w:r>
              <w:t>Gani</w:t>
            </w:r>
            <w:proofErr w:type="spellEnd"/>
            <w:r>
              <w:t xml:space="preserve">, </w:t>
            </w:r>
            <w:proofErr w:type="spellStart"/>
            <w:r>
              <w:t>Badrul</w:t>
            </w:r>
            <w:proofErr w:type="spellEnd"/>
            <w:r>
              <w:t xml:space="preserve"> </w:t>
            </w:r>
            <w:proofErr w:type="spellStart"/>
            <w:r>
              <w:t>Hisyam</w:t>
            </w:r>
            <w:proofErr w:type="spellEnd"/>
            <w:r>
              <w:t xml:space="preserve"> </w:t>
            </w:r>
            <w:proofErr w:type="spellStart"/>
            <w:r>
              <w:t>Zainudin</w:t>
            </w:r>
            <w:proofErr w:type="spellEnd"/>
            <w:r>
              <w:t xml:space="preserve"> and Nur </w:t>
            </w:r>
            <w:proofErr w:type="spellStart"/>
            <w:r>
              <w:t>Azilah</w:t>
            </w:r>
            <w:proofErr w:type="spellEnd"/>
            <w:r>
              <w:t xml:space="preserve"> Abdullah. 2016. Efficacy of Cocoa Pod Extract as Anti-Wrinkle Gel on Human Skin Surface. Journal of Cosmetic Dermatology, 15, 283—295.</w:t>
            </w:r>
          </w:p>
          <w:p w14:paraId="59A05F28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Tanko</w:t>
            </w:r>
            <w:proofErr w:type="spellEnd"/>
            <w:r>
              <w:t xml:space="preserve"> Abubakar, </w:t>
            </w:r>
            <w:proofErr w:type="spellStart"/>
            <w:r>
              <w:t>Nazrim</w:t>
            </w:r>
            <w:proofErr w:type="spellEnd"/>
            <w:r>
              <w:t xml:space="preserve"> </w:t>
            </w:r>
            <w:proofErr w:type="spellStart"/>
            <w:r>
              <w:t>Marikkar</w:t>
            </w:r>
            <w:proofErr w:type="spellEnd"/>
            <w:r>
              <w:t xml:space="preserve">, Abubakar Salleh,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Make </w:t>
            </w:r>
            <w:proofErr w:type="spellStart"/>
            <w:r>
              <w:t>Jivan</w:t>
            </w:r>
            <w:proofErr w:type="spellEnd"/>
            <w:r>
              <w:t>. 2016. Evaluation of Brans of Different Rice Varieties for Their Anti-Oxidative and Anti-Hyperglycaemic Potentials. Journal of Food Biochemistry. 1-7 (</w:t>
            </w:r>
            <w:proofErr w:type="spellStart"/>
            <w:r>
              <w:t>doi</w:t>
            </w:r>
            <w:proofErr w:type="spellEnd"/>
            <w:r>
              <w:t>: 10.1111/jfbc.12295) (online first)</w:t>
            </w:r>
          </w:p>
          <w:p w14:paraId="786F6C27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Anuar</w:t>
            </w:r>
            <w:proofErr w:type="spellEnd"/>
            <w:r>
              <w:t xml:space="preserve"> Samad, Amin Ismail,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2016. Therapeutic Effects of Vinegar: A Review. Current Opinion in Food Science. 8: 56-61.</w:t>
            </w:r>
          </w:p>
          <w:p w14:paraId="6595003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Tan Chin Xuan,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2016. </w:t>
            </w:r>
            <w:proofErr w:type="spellStart"/>
            <w:r>
              <w:t>Canarium</w:t>
            </w:r>
            <w:proofErr w:type="spellEnd"/>
            <w:r>
              <w:t xml:space="preserve"> </w:t>
            </w:r>
            <w:proofErr w:type="spellStart"/>
            <w:r>
              <w:t>odonthophyllum</w:t>
            </w:r>
            <w:proofErr w:type="spellEnd"/>
            <w:r>
              <w:t xml:space="preserve"> (</w:t>
            </w:r>
            <w:proofErr w:type="spellStart"/>
            <w:r>
              <w:t>Dabai</w:t>
            </w:r>
            <w:proofErr w:type="spellEnd"/>
            <w:r>
              <w:t xml:space="preserve"> fruit): A review on its nutritional, phytochemicals and pharmacological properties. The </w:t>
            </w:r>
            <w:proofErr w:type="spellStart"/>
            <w:r>
              <w:t>Pertanika</w:t>
            </w:r>
            <w:proofErr w:type="spellEnd"/>
            <w:r>
              <w:t xml:space="preserve"> Journal of Scholarly Research Reviews. 2(1): 80-94.</w:t>
            </w:r>
          </w:p>
          <w:p w14:paraId="20361520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Nur </w:t>
            </w:r>
            <w:proofErr w:type="spellStart"/>
            <w:r>
              <w:t>Arina</w:t>
            </w:r>
            <w:proofErr w:type="spellEnd"/>
            <w:r>
              <w:t xml:space="preserve">, A. J. &amp;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A.</w:t>
            </w:r>
            <w:r>
              <w:t xml:space="preserve"> 2016. Comparison of Total Phenolic Content and Antioxidant Activity of Fresh and </w:t>
            </w:r>
            <w:proofErr w:type="spellStart"/>
            <w:r>
              <w:t>Fried</w:t>
            </w:r>
            <w:proofErr w:type="spellEnd"/>
            <w:r>
              <w:t xml:space="preserve"> Fruits. International Food Research Journal. 23(4): 1717-1724.</w:t>
            </w:r>
          </w:p>
          <w:p w14:paraId="55D5299E" w14:textId="3749AD34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Megat</w:t>
            </w:r>
            <w:proofErr w:type="spellEnd"/>
            <w:r>
              <w:t xml:space="preserve"> </w:t>
            </w:r>
            <w:proofErr w:type="spellStart"/>
            <w:r>
              <w:t>Rusydi</w:t>
            </w:r>
            <w:proofErr w:type="spellEnd"/>
            <w:r>
              <w:t xml:space="preserve">, M.R., </w:t>
            </w:r>
            <w:proofErr w:type="spellStart"/>
            <w:r>
              <w:t>Azrina</w:t>
            </w:r>
            <w:proofErr w:type="spellEnd"/>
            <w:r>
              <w:t xml:space="preserve">, A and </w:t>
            </w:r>
            <w:proofErr w:type="spellStart"/>
            <w:r>
              <w:t>Norhaizan</w:t>
            </w:r>
            <w:proofErr w:type="spellEnd"/>
            <w:r>
              <w:t xml:space="preserve"> ME. 2016. Effect of germination on total dietary fibre and total sugar in legumes (kidney, mung, soybean and peanut). International Food Research Journal. 23(1): 257-261.</w:t>
            </w:r>
          </w:p>
          <w:p w14:paraId="6DAA66B1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Gunasekaran Baskaran, </w:t>
            </w:r>
            <w:proofErr w:type="spellStart"/>
            <w:r>
              <w:t>Shamala</w:t>
            </w:r>
            <w:proofErr w:type="spellEnd"/>
            <w:r>
              <w:t xml:space="preserve"> </w:t>
            </w:r>
            <w:proofErr w:type="spellStart"/>
            <w:r>
              <w:t>Salvamani</w:t>
            </w:r>
            <w:proofErr w:type="spellEnd"/>
            <w:r>
              <w:t xml:space="preserve">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Siti </w:t>
            </w:r>
            <w:proofErr w:type="spellStart"/>
            <w:r>
              <w:t>Aqlima</w:t>
            </w:r>
            <w:proofErr w:type="spellEnd"/>
            <w:r>
              <w:t xml:space="preserve"> Ahmad, </w:t>
            </w:r>
            <w:proofErr w:type="spellStart"/>
            <w:r>
              <w:t>Swee</w:t>
            </w:r>
            <w:proofErr w:type="spellEnd"/>
            <w:r>
              <w:t xml:space="preserve"> </w:t>
            </w:r>
            <w:proofErr w:type="spellStart"/>
            <w:r>
              <w:t>Keong</w:t>
            </w:r>
            <w:proofErr w:type="spellEnd"/>
            <w:r>
              <w:t xml:space="preserve"> </w:t>
            </w:r>
            <w:proofErr w:type="spellStart"/>
            <w:r>
              <w:t>Yeap</w:t>
            </w:r>
            <w:proofErr w:type="spellEnd"/>
            <w:r>
              <w:t xml:space="preserve">, and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Yunus</w:t>
            </w:r>
            <w:proofErr w:type="spellEnd"/>
            <w:r>
              <w:t xml:space="preserve"> </w:t>
            </w:r>
            <w:proofErr w:type="spellStart"/>
            <w:r>
              <w:t>Shukor</w:t>
            </w:r>
            <w:proofErr w:type="spellEnd"/>
            <w:r>
              <w:t xml:space="preserve">. 2015. </w:t>
            </w:r>
            <w:proofErr w:type="spellStart"/>
            <w:r>
              <w:t>Hypocholesterolemic</w:t>
            </w:r>
            <w:proofErr w:type="spellEnd"/>
            <w:r>
              <w:t xml:space="preserve"> and </w:t>
            </w:r>
            <w:proofErr w:type="spellStart"/>
            <w:r>
              <w:t>Antiatherosclerotic</w:t>
            </w:r>
            <w:proofErr w:type="spellEnd"/>
            <w:r>
              <w:t xml:space="preserve"> Potential of </w:t>
            </w:r>
            <w:proofErr w:type="spellStart"/>
            <w:r>
              <w:t>Basella</w:t>
            </w:r>
            <w:proofErr w:type="spellEnd"/>
            <w:r>
              <w:t xml:space="preserve"> alba Leaf Extract in Hypercholesterolemia-Induced Rabbits. Evidence-Based Complementary and Alternative Medicine. Article ID 751714, 1-7 (doi.org/10.1155/2015/751714).</w:t>
            </w:r>
          </w:p>
          <w:p w14:paraId="3D327B67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Aznira</w:t>
            </w:r>
            <w:proofErr w:type="spellEnd"/>
            <w:r>
              <w:t xml:space="preserve"> Ab Rahman and Hock </w:t>
            </w:r>
            <w:proofErr w:type="spellStart"/>
            <w:r>
              <w:t>Eng</w:t>
            </w:r>
            <w:proofErr w:type="spellEnd"/>
            <w:r>
              <w:t xml:space="preserve"> Khoo. 2015. Chemical properties and fatty acid composition of </w:t>
            </w:r>
            <w:proofErr w:type="spellStart"/>
            <w:r>
              <w:t>Mangifera</w:t>
            </w:r>
            <w:proofErr w:type="spellEnd"/>
            <w:r>
              <w:t xml:space="preserve"> </w:t>
            </w:r>
            <w:proofErr w:type="spellStart"/>
            <w:r>
              <w:t>pajang</w:t>
            </w:r>
            <w:proofErr w:type="spellEnd"/>
            <w:r>
              <w:t xml:space="preserve"> and </w:t>
            </w:r>
            <w:proofErr w:type="spellStart"/>
            <w:r>
              <w:t>Mangifera</w:t>
            </w:r>
            <w:proofErr w:type="spellEnd"/>
            <w:r>
              <w:t xml:space="preserve"> </w:t>
            </w:r>
            <w:proofErr w:type="spellStart"/>
            <w:r>
              <w:t>indica</w:t>
            </w:r>
            <w:proofErr w:type="spellEnd"/>
            <w:r>
              <w:t xml:space="preserve"> kernel fats. Malaysian Journal of Nutrition. 21(3): 355-363.</w:t>
            </w:r>
          </w:p>
          <w:p w14:paraId="54B4F5DC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Hock </w:t>
            </w:r>
            <w:proofErr w:type="spellStart"/>
            <w:r>
              <w:t>Eng</w:t>
            </w:r>
            <w:proofErr w:type="spellEnd"/>
            <w:r>
              <w:t xml:space="preserve"> Khoo,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Amin Ismail, </w:t>
            </w:r>
            <w:proofErr w:type="spellStart"/>
            <w:r>
              <w:t>Sadeq</w:t>
            </w:r>
            <w:proofErr w:type="spellEnd"/>
            <w:r>
              <w:t xml:space="preserve"> Hassan Al-</w:t>
            </w:r>
            <w:proofErr w:type="spellStart"/>
            <w:r>
              <w:t>Sheraji</w:t>
            </w:r>
            <w:proofErr w:type="spellEnd"/>
            <w:r>
              <w:t xml:space="preserve">. 2015. Protective Effects of Defatted </w:t>
            </w:r>
            <w:proofErr w:type="spellStart"/>
            <w:r>
              <w:t>Dabai</w:t>
            </w:r>
            <w:proofErr w:type="spellEnd"/>
            <w:r>
              <w:t xml:space="preserve"> Peel Extracts in Hypercholesterolemic Rabbits Based on Histopathological Methods. Malaysian Journal of Medical and Health Sciences. 11(2) June: 59-68.</w:t>
            </w:r>
          </w:p>
          <w:p w14:paraId="3D48D1CA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Nurnadia</w:t>
            </w:r>
            <w:proofErr w:type="spellEnd"/>
            <w:r>
              <w:t xml:space="preserve"> Abd Aziz, Khoo Hock </w:t>
            </w:r>
            <w:proofErr w:type="spellStart"/>
            <w:r>
              <w:t>Eng</w:t>
            </w:r>
            <w:proofErr w:type="spellEnd"/>
            <w:r>
              <w:t xml:space="preserve">, Amin Ismail, </w:t>
            </w:r>
            <w:proofErr w:type="spellStart"/>
            <w:r>
              <w:t>Sadeq</w:t>
            </w:r>
            <w:proofErr w:type="spellEnd"/>
            <w:r>
              <w:t xml:space="preserve"> Hasan Al-</w:t>
            </w:r>
            <w:proofErr w:type="spellStart"/>
            <w:r>
              <w:t>Sheraji</w:t>
            </w:r>
            <w:proofErr w:type="spellEnd"/>
            <w:r>
              <w:t xml:space="preserve"> and Muhammad Rizal </w:t>
            </w:r>
            <w:proofErr w:type="spellStart"/>
            <w:r>
              <w:t>Razman</w:t>
            </w:r>
            <w:proofErr w:type="spellEnd"/>
            <w:r>
              <w:t>. 2015. Cholesterol and alpha-tocopherol contents of fish and other seafood from the Straits of Malacca.  International Food Research Journal. 2(4): 1494-1500.</w:t>
            </w:r>
          </w:p>
          <w:p w14:paraId="2DA4F632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Faridah</w:t>
            </w:r>
            <w:proofErr w:type="spellEnd"/>
            <w:r>
              <w:t xml:space="preserve"> </w:t>
            </w:r>
            <w:proofErr w:type="spellStart"/>
            <w:r>
              <w:t>Hanim</w:t>
            </w:r>
            <w:proofErr w:type="spellEnd"/>
            <w:r>
              <w:t xml:space="preserve">, S.,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>, A.,</w:t>
            </w:r>
            <w:r>
              <w:t xml:space="preserve"> Khoo, H. E. and Amin, I. 2015. Protective effects of pulp and kernel oils from </w:t>
            </w:r>
            <w:proofErr w:type="spellStart"/>
            <w:r>
              <w:t>Canarium</w:t>
            </w:r>
            <w:proofErr w:type="spellEnd"/>
            <w:r>
              <w:t xml:space="preserve"> </w:t>
            </w:r>
            <w:proofErr w:type="spellStart"/>
            <w:r>
              <w:t>odontophyllum</w:t>
            </w:r>
            <w:proofErr w:type="spellEnd"/>
            <w:r>
              <w:t xml:space="preserve"> fruits in normal and hypercholesterolemic rabbits. International Food Research Journal. 2(4): 1318-1326.</w:t>
            </w:r>
          </w:p>
          <w:p w14:paraId="2C859E67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Alina Mohamad,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Yusoff</w:t>
            </w:r>
            <w:proofErr w:type="spellEnd"/>
            <w:r>
              <w:t xml:space="preserve"> </w:t>
            </w:r>
            <w:proofErr w:type="spellStart"/>
            <w:r>
              <w:t>Adon</w:t>
            </w:r>
            <w:proofErr w:type="spellEnd"/>
            <w:r>
              <w:t xml:space="preserve">, Khoo Hock </w:t>
            </w:r>
            <w:proofErr w:type="spellStart"/>
            <w:r>
              <w:t>Eng</w:t>
            </w:r>
            <w:proofErr w:type="spellEnd"/>
            <w:r>
              <w:t xml:space="preserve">, Muhammad Rizal </w:t>
            </w:r>
            <w:proofErr w:type="spellStart"/>
            <w:r>
              <w:t>Razman</w:t>
            </w:r>
            <w:proofErr w:type="spellEnd"/>
            <w:r>
              <w:t>. 2015. PCB and heavy metals exposure among fishermen in the Straits of Malacca: neurobehavioral performance. Asia Pacific Journal of Clinical Nutrition. 24(3): 515-524.</w:t>
            </w:r>
          </w:p>
          <w:p w14:paraId="1D1A9EC6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Nurul </w:t>
            </w:r>
            <w:proofErr w:type="spellStart"/>
            <w:r>
              <w:t>Nadiah</w:t>
            </w:r>
            <w:proofErr w:type="spellEnd"/>
            <w:r>
              <w:t xml:space="preserve"> Mohamad Nasir, </w:t>
            </w:r>
            <w:proofErr w:type="spellStart"/>
            <w:r>
              <w:t>Norashikin</w:t>
            </w:r>
            <w:proofErr w:type="spellEnd"/>
            <w:r>
              <w:t xml:space="preserve"> </w:t>
            </w:r>
            <w:proofErr w:type="spellStart"/>
            <w:r>
              <w:t>Shamsudin</w:t>
            </w:r>
            <w:proofErr w:type="spellEnd"/>
            <w:r>
              <w:t xml:space="preserve">, </w:t>
            </w:r>
            <w:proofErr w:type="spellStart"/>
            <w:r>
              <w:t>Hejar</w:t>
            </w:r>
            <w:proofErr w:type="spellEnd"/>
            <w:r>
              <w:t xml:space="preserve"> Abd. Rahman, Hock </w:t>
            </w:r>
            <w:proofErr w:type="spellStart"/>
            <w:r>
              <w:t>Eng</w:t>
            </w:r>
            <w:proofErr w:type="spellEnd"/>
            <w:r>
              <w:t xml:space="preserve"> Khoo, Muhammad Rizal </w:t>
            </w:r>
            <w:proofErr w:type="spellStart"/>
            <w:r>
              <w:t>Razman</w:t>
            </w:r>
            <w:proofErr w:type="spellEnd"/>
            <w:r>
              <w:t>. 2015. PCDD and PCDF Exposures among Fisherman Community through Intake of Fish and Shellfish from the Straits of Malacca. BMC Public Health. 15: 683. DOI 10.1186/s12889-015-2044-3.</w:t>
            </w:r>
          </w:p>
          <w:p w14:paraId="2149E51A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Hock </w:t>
            </w:r>
            <w:proofErr w:type="spellStart"/>
            <w:r>
              <w:t>Eng</w:t>
            </w:r>
            <w:proofErr w:type="spellEnd"/>
            <w:r>
              <w:t xml:space="preserve"> Khoo,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 and Amin Ismail. 2015. </w:t>
            </w:r>
            <w:proofErr w:type="spellStart"/>
            <w:r>
              <w:t>Sauropus</w:t>
            </w:r>
            <w:proofErr w:type="spellEnd"/>
            <w:r>
              <w:t xml:space="preserve"> </w:t>
            </w:r>
            <w:proofErr w:type="spellStart"/>
            <w:r>
              <w:t>androgynus</w:t>
            </w:r>
            <w:proofErr w:type="spellEnd"/>
            <w:r>
              <w:t xml:space="preserve"> Leaves for Health Benefits: Hype and the Science. The Natural Products Journal, Vol. 5: 115-123. </w:t>
            </w:r>
          </w:p>
          <w:p w14:paraId="2AE6E1C0" w14:textId="77777777" w:rsidR="007A3123" w:rsidRDefault="007A3123" w:rsidP="007A3123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>S H Al-</w:t>
            </w:r>
            <w:proofErr w:type="spellStart"/>
            <w:r>
              <w:t>Sheraji</w:t>
            </w:r>
            <w:proofErr w:type="spellEnd"/>
            <w:r>
              <w:t>, I Amin</w:t>
            </w:r>
            <w:r w:rsidRPr="00CD1EAB">
              <w:rPr>
                <w:b/>
                <w:bCs/>
              </w:rPr>
              <w:t xml:space="preserve">, </w:t>
            </w:r>
            <w:proofErr w:type="gramStart"/>
            <w:r w:rsidRPr="00CD1EAB">
              <w:rPr>
                <w:b/>
                <w:bCs/>
              </w:rPr>
              <w:t>A</w:t>
            </w:r>
            <w:proofErr w:type="gram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M.Y. </w:t>
            </w:r>
            <w:proofErr w:type="spellStart"/>
            <w:r>
              <w:t>Manap</w:t>
            </w:r>
            <w:proofErr w:type="spellEnd"/>
            <w:r>
              <w:t xml:space="preserve"> and F.A. Hassan. 2015. Effects of Bifidobacterium </w:t>
            </w:r>
            <w:proofErr w:type="spellStart"/>
            <w:r>
              <w:t>longum</w:t>
            </w:r>
            <w:proofErr w:type="spellEnd"/>
            <w:r>
              <w:t xml:space="preserve"> BB536 on lipid profile and histopathological changes in </w:t>
            </w:r>
            <w:proofErr w:type="spellStart"/>
            <w:r>
              <w:t>hypercholesterolaemic</w:t>
            </w:r>
            <w:proofErr w:type="spellEnd"/>
            <w:r>
              <w:t xml:space="preserve"> rats. Beneficial Microbes. 6(5): 681-668.</w:t>
            </w:r>
          </w:p>
          <w:p w14:paraId="3922E362" w14:textId="5A37FE0A" w:rsidR="00AA4429" w:rsidRDefault="007A3123" w:rsidP="000F71DF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Tee LH, Ramanan RN, </w:t>
            </w:r>
            <w:proofErr w:type="spellStart"/>
            <w:r>
              <w:t>Tey</w:t>
            </w:r>
            <w:proofErr w:type="spellEnd"/>
            <w:r>
              <w:t xml:space="preserve"> BT, Chan ES,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A</w:t>
            </w:r>
            <w:r>
              <w:t xml:space="preserve">, Amin I, Yang Bao, Lau CY and Prasad KN. 2015. Phytochemicals and Antioxidant Capacities from </w:t>
            </w:r>
            <w:proofErr w:type="spellStart"/>
            <w:r>
              <w:t>Dacryo</w:t>
            </w:r>
            <w:proofErr w:type="spellEnd"/>
            <w:r>
              <w:t xml:space="preserve"> </w:t>
            </w:r>
            <w:proofErr w:type="spellStart"/>
            <w:r>
              <w:t>desrostrata</w:t>
            </w:r>
            <w:proofErr w:type="spellEnd"/>
            <w:r>
              <w:t xml:space="preserve"> Fruits. Medicinal Chemistry 5:1. http://dx.doi.org/1 0.4172/2161-0444.1000238.</w:t>
            </w:r>
          </w:p>
        </w:tc>
      </w:tr>
      <w:tr w:rsidR="00AA4429" w14:paraId="59317E56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</w:tcPr>
          <w:p w14:paraId="3B26C3C7" w14:textId="77777777" w:rsidR="00AA4429" w:rsidRDefault="00AA4429" w:rsidP="00D21A44"/>
        </w:tc>
      </w:tr>
      <w:tr w:rsidR="00AA4429" w14:paraId="5055DD26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3028F" w14:textId="0FC7C722" w:rsidR="00AA4429" w:rsidRPr="00AA4429" w:rsidRDefault="00AA4429" w:rsidP="00D21A44">
            <w:pPr>
              <w:rPr>
                <w:b/>
                <w:bCs/>
              </w:rPr>
            </w:pPr>
            <w:r w:rsidRPr="00AA4429">
              <w:rPr>
                <w:b/>
                <w:bCs/>
              </w:rPr>
              <w:t>Conference Proceedings (</w:t>
            </w:r>
            <w:r w:rsidR="00955B9A">
              <w:rPr>
                <w:b/>
                <w:bCs/>
              </w:rPr>
              <w:t>in 5 years</w:t>
            </w:r>
            <w:r w:rsidRPr="00AA4429">
              <w:rPr>
                <w:b/>
                <w:bCs/>
              </w:rPr>
              <w:t>)</w:t>
            </w:r>
          </w:p>
        </w:tc>
      </w:tr>
      <w:tr w:rsidR="00AA4429" w14:paraId="3A3789C3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A4AB8" w14:textId="77777777" w:rsidR="00D10154" w:rsidRDefault="00D10154" w:rsidP="00D10154">
            <w:pPr>
              <w:pStyle w:val="ListParagraph"/>
              <w:numPr>
                <w:ilvl w:val="0"/>
                <w:numId w:val="11"/>
              </w:numPr>
              <w:jc w:val="both"/>
            </w:pPr>
            <w:proofErr w:type="spellStart"/>
            <w:r w:rsidRPr="00D10154">
              <w:rPr>
                <w:b/>
                <w:bCs/>
              </w:rPr>
              <w:t>Azlan</w:t>
            </w:r>
            <w:proofErr w:type="spellEnd"/>
            <w:r w:rsidRPr="00D10154">
              <w:rPr>
                <w:b/>
                <w:bCs/>
              </w:rPr>
              <w:t>, A</w:t>
            </w:r>
            <w:r>
              <w:t xml:space="preserve">., Khoo, H. E., Wan </w:t>
            </w:r>
            <w:proofErr w:type="spellStart"/>
            <w:r>
              <w:t>Shapie</w:t>
            </w:r>
            <w:proofErr w:type="spellEnd"/>
            <w:r>
              <w:t xml:space="preserve">, W. K. and Abd Kadir, N. A. A. 2019. Nutritional quality and sensory evaluation of </w:t>
            </w:r>
            <w:proofErr w:type="spellStart"/>
            <w:r>
              <w:t>dabai</w:t>
            </w:r>
            <w:proofErr w:type="spellEnd"/>
            <w:r>
              <w:t xml:space="preserve"> chocolates. E-Proceeding. International Food Research Conference 2019. 2nd International Food Research Conference (IFRC 2019), 28-29 August 2019, Putrajaya.   Pp 141-146</w:t>
            </w:r>
          </w:p>
          <w:p w14:paraId="7AE147C9" w14:textId="77777777" w:rsidR="00D10154" w:rsidRDefault="00D10154" w:rsidP="00D10154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10154">
              <w:rPr>
                <w:b/>
                <w:bCs/>
              </w:rPr>
              <w:t xml:space="preserve">A. </w:t>
            </w:r>
            <w:proofErr w:type="spellStart"/>
            <w:r w:rsidRPr="00D10154">
              <w:rPr>
                <w:b/>
                <w:bCs/>
              </w:rPr>
              <w:t>Azrina</w:t>
            </w:r>
            <w:proofErr w:type="spellEnd"/>
            <w:r>
              <w:t xml:space="preserve">, M.N. </w:t>
            </w:r>
            <w:proofErr w:type="spellStart"/>
            <w:r>
              <w:t>Fikratul</w:t>
            </w:r>
            <w:proofErr w:type="spellEnd"/>
            <w:r>
              <w:t xml:space="preserve"> </w:t>
            </w:r>
            <w:proofErr w:type="spellStart"/>
            <w:r>
              <w:t>Najihah</w:t>
            </w:r>
            <w:proofErr w:type="spellEnd"/>
            <w:r>
              <w:t xml:space="preserve">, Muhammad Rizal </w:t>
            </w:r>
            <w:proofErr w:type="spellStart"/>
            <w:r>
              <w:t>Razman</w:t>
            </w:r>
            <w:proofErr w:type="spellEnd"/>
            <w:r>
              <w:t xml:space="preserve">. 2019. Review on Types of Sugar as Sweetener in Malaysia. </w:t>
            </w:r>
            <w:proofErr w:type="spellStart"/>
            <w:r>
              <w:t>Prosiding</w:t>
            </w:r>
            <w:proofErr w:type="spellEnd"/>
            <w:r>
              <w:t xml:space="preserve"> Seminar </w:t>
            </w:r>
            <w:proofErr w:type="spellStart"/>
            <w:r>
              <w:t>Enau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2019. 1 April 2019, </w:t>
            </w:r>
            <w:proofErr w:type="spellStart"/>
            <w:r>
              <w:t>Bahau</w:t>
            </w:r>
            <w:proofErr w:type="spellEnd"/>
            <w:r>
              <w:t xml:space="preserve">, Negeri Sembilan. [A. </w:t>
            </w:r>
            <w:proofErr w:type="spellStart"/>
            <w:r>
              <w:t>Azrina</w:t>
            </w:r>
            <w:proofErr w:type="spellEnd"/>
            <w:r>
              <w:t xml:space="preserve">, M.N. </w:t>
            </w:r>
            <w:proofErr w:type="spellStart"/>
            <w:r>
              <w:t>Fikratul</w:t>
            </w:r>
            <w:proofErr w:type="spellEnd"/>
            <w:r>
              <w:t xml:space="preserve"> </w:t>
            </w:r>
            <w:proofErr w:type="spellStart"/>
            <w:r>
              <w:t>Najihah</w:t>
            </w:r>
            <w:proofErr w:type="spellEnd"/>
            <w:r>
              <w:t xml:space="preserve">, Muhammad Rizal </w:t>
            </w:r>
            <w:proofErr w:type="spellStart"/>
            <w:r>
              <w:t>Razman</w:t>
            </w:r>
            <w:proofErr w:type="spellEnd"/>
            <w:r>
              <w:t xml:space="preserve">. 2019. Review on Types of Sugar as Sweetener </w:t>
            </w:r>
            <w:proofErr w:type="gramStart"/>
            <w:r>
              <w:t>In</w:t>
            </w:r>
            <w:proofErr w:type="gramEnd"/>
            <w:r>
              <w:t xml:space="preserve"> Malaysia. </w:t>
            </w:r>
            <w:proofErr w:type="spellStart"/>
            <w:r>
              <w:t>Prosiding</w:t>
            </w:r>
            <w:proofErr w:type="spellEnd"/>
            <w:r>
              <w:t xml:space="preserve"> Seminar </w:t>
            </w:r>
            <w:proofErr w:type="spellStart"/>
            <w:r>
              <w:t>Enau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2019. Editor: 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Sapuan</w:t>
            </w:r>
            <w:proofErr w:type="spellEnd"/>
            <w:r>
              <w:t xml:space="preserve"> </w:t>
            </w:r>
            <w:proofErr w:type="spellStart"/>
            <w:r>
              <w:t>Salit</w:t>
            </w:r>
            <w:proofErr w:type="spellEnd"/>
            <w:r>
              <w:t xml:space="preserve">, </w:t>
            </w:r>
            <w:proofErr w:type="spellStart"/>
            <w:r>
              <w:t>Zulkiflle</w:t>
            </w:r>
            <w:proofErr w:type="spellEnd"/>
            <w:r>
              <w:t xml:space="preserve"> Leman, Edi </w:t>
            </w:r>
            <w:proofErr w:type="spellStart"/>
            <w:r>
              <w:t>Syams</w:t>
            </w:r>
            <w:proofErr w:type="spellEnd"/>
            <w:r>
              <w:t xml:space="preserve"> </w:t>
            </w:r>
            <w:proofErr w:type="spellStart"/>
            <w:r>
              <w:t>Zainudin</w:t>
            </w:r>
            <w:proofErr w:type="spellEnd"/>
            <w:r>
              <w:t xml:space="preserve">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Zuhri</w:t>
            </w:r>
            <w:proofErr w:type="spellEnd"/>
            <w:r>
              <w:t xml:space="preserve"> Mohamed </w:t>
            </w:r>
            <w:proofErr w:type="spellStart"/>
            <w:r>
              <w:t>Yusoff</w:t>
            </w:r>
            <w:proofErr w:type="spellEnd"/>
            <w:r>
              <w:t xml:space="preserve">, Ahmad Ilyas </w:t>
            </w:r>
            <w:proofErr w:type="spellStart"/>
            <w:r>
              <w:t>Rushdan</w:t>
            </w:r>
            <w:proofErr w:type="spellEnd"/>
            <w:r>
              <w:t>. ISBN: 978-983-44426-8-2. Pp 146-152]</w:t>
            </w:r>
          </w:p>
          <w:p w14:paraId="2F8BED25" w14:textId="5F74DA8D" w:rsidR="00D10154" w:rsidRDefault="00D10154" w:rsidP="00D10154">
            <w:pPr>
              <w:pStyle w:val="ListParagraph"/>
              <w:numPr>
                <w:ilvl w:val="0"/>
                <w:numId w:val="11"/>
              </w:numPr>
              <w:jc w:val="both"/>
            </w:pPr>
            <w:proofErr w:type="spellStart"/>
            <w:r>
              <w:t>Sabariah</w:t>
            </w:r>
            <w:proofErr w:type="spellEnd"/>
            <w:r>
              <w:t xml:space="preserve"> Binti Md Noor, </w:t>
            </w:r>
            <w:proofErr w:type="spellStart"/>
            <w:r w:rsidRPr="00D10154">
              <w:rPr>
                <w:b/>
                <w:bCs/>
              </w:rPr>
              <w:t>Azrina</w:t>
            </w:r>
            <w:proofErr w:type="spellEnd"/>
            <w:r w:rsidRPr="00D10154">
              <w:rPr>
                <w:b/>
                <w:bCs/>
              </w:rPr>
              <w:t xml:space="preserve"> </w:t>
            </w:r>
            <w:proofErr w:type="spellStart"/>
            <w:r w:rsidRPr="00D10154">
              <w:rPr>
                <w:b/>
                <w:bCs/>
              </w:rPr>
              <w:t>Azlan</w:t>
            </w:r>
            <w:proofErr w:type="spellEnd"/>
            <w:r w:rsidRPr="00D10154">
              <w:rPr>
                <w:b/>
                <w:bCs/>
              </w:rPr>
              <w:t>,</w:t>
            </w:r>
            <w:r>
              <w:t xml:space="preserve"> </w:t>
            </w:r>
            <w:proofErr w:type="spellStart"/>
            <w:r>
              <w:t>Loh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Peng. 2018. Effects of EPA/DHA from Yellow-Stripe </w:t>
            </w:r>
            <w:proofErr w:type="spellStart"/>
            <w:r>
              <w:t>Scad</w:t>
            </w:r>
            <w:proofErr w:type="spellEnd"/>
            <w:r>
              <w:t xml:space="preserve"> and Salmon on Platelet-Related Cytokines of Healthy Overweight Malaysians. Conference Proceedings </w:t>
            </w:r>
          </w:p>
          <w:p w14:paraId="2615797D" w14:textId="77777777" w:rsidR="00D10154" w:rsidRDefault="00D10154" w:rsidP="00D10154">
            <w:pPr>
              <w:pStyle w:val="ListParagraph"/>
              <w:numPr>
                <w:ilvl w:val="0"/>
                <w:numId w:val="11"/>
              </w:numPr>
              <w:jc w:val="both"/>
            </w:pPr>
            <w:proofErr w:type="spellStart"/>
            <w:r w:rsidRPr="00D10154">
              <w:rPr>
                <w:b/>
                <w:bCs/>
              </w:rPr>
              <w:t>Azrina</w:t>
            </w:r>
            <w:proofErr w:type="spellEnd"/>
            <w:r w:rsidRPr="00D10154">
              <w:rPr>
                <w:b/>
                <w:bCs/>
              </w:rPr>
              <w:t xml:space="preserve"> </w:t>
            </w:r>
            <w:proofErr w:type="spellStart"/>
            <w:r w:rsidRPr="00D10154">
              <w:rPr>
                <w:b/>
                <w:bCs/>
              </w:rPr>
              <w:t>Azlan</w:t>
            </w:r>
            <w:proofErr w:type="spellEnd"/>
            <w:r>
              <w:t xml:space="preserve"> and </w:t>
            </w:r>
            <w:proofErr w:type="spellStart"/>
            <w:r>
              <w:t>Loh</w:t>
            </w:r>
            <w:proofErr w:type="spellEnd"/>
            <w:r>
              <w:t xml:space="preserve"> </w:t>
            </w:r>
            <w:proofErr w:type="spellStart"/>
            <w:r>
              <w:t>Shuk</w:t>
            </w:r>
            <w:proofErr w:type="spellEnd"/>
            <w:r>
              <w:t xml:space="preserve"> Ching. 2017. Antioxidant Properties of MD2 pineapple [</w:t>
            </w:r>
            <w:proofErr w:type="spellStart"/>
            <w:r>
              <w:t>Ananas</w:t>
            </w:r>
            <w:proofErr w:type="spellEnd"/>
            <w:r>
              <w:t xml:space="preserve"> </w:t>
            </w:r>
            <w:proofErr w:type="spellStart"/>
            <w:r>
              <w:t>comosus</w:t>
            </w:r>
            <w:proofErr w:type="spellEnd"/>
            <w:r>
              <w:t xml:space="preserve"> L.] parts as source of natural antioxidant. 2nd International Anatomical and Biomedical Scientific Conference 2017. 1-2 August 2017, Serdang Malaysia</w:t>
            </w:r>
          </w:p>
          <w:p w14:paraId="20E26A1B" w14:textId="195C0321" w:rsidR="00D10154" w:rsidRDefault="00D10154" w:rsidP="00D10154">
            <w:pPr>
              <w:pStyle w:val="ListParagraph"/>
              <w:numPr>
                <w:ilvl w:val="0"/>
                <w:numId w:val="11"/>
              </w:numPr>
              <w:jc w:val="both"/>
            </w:pPr>
            <w:proofErr w:type="spellStart"/>
            <w:r>
              <w:t>Fatin</w:t>
            </w:r>
            <w:proofErr w:type="spellEnd"/>
            <w:r>
              <w:t xml:space="preserve"> Najwa Ramli &amp; </w:t>
            </w:r>
            <w:proofErr w:type="spellStart"/>
            <w:r w:rsidRPr="00D10154">
              <w:rPr>
                <w:b/>
                <w:bCs/>
              </w:rPr>
              <w:t>Azrina</w:t>
            </w:r>
            <w:proofErr w:type="spellEnd"/>
            <w:r w:rsidRPr="00D10154">
              <w:rPr>
                <w:b/>
                <w:bCs/>
              </w:rPr>
              <w:t xml:space="preserve"> </w:t>
            </w:r>
            <w:proofErr w:type="spellStart"/>
            <w:r w:rsidRPr="00D10154">
              <w:rPr>
                <w:b/>
                <w:bCs/>
              </w:rPr>
              <w:t>Azlan</w:t>
            </w:r>
            <w:proofErr w:type="spellEnd"/>
            <w:r>
              <w:t xml:space="preserve">. 2016. A 1H-NMR-Based Metabolomics Investigation on The Effect of Saffron Extract and Crocin on Rats Fed a High Fat Diet. 5th International Conference and Exhibition on Metabolomics. 16-18 </w:t>
            </w:r>
            <w:r w:rsidR="00BC0E16">
              <w:t>May</w:t>
            </w:r>
            <w:r>
              <w:t xml:space="preserve"> 2016, Osaka, Japan.</w:t>
            </w:r>
          </w:p>
          <w:p w14:paraId="3C87A0FB" w14:textId="359D44C1" w:rsidR="00AA4429" w:rsidRPr="00AA4429" w:rsidRDefault="00D10154" w:rsidP="000F71DF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S.Q. Chang and </w:t>
            </w:r>
            <w:r w:rsidRPr="00D10154">
              <w:rPr>
                <w:b/>
                <w:bCs/>
              </w:rPr>
              <w:t xml:space="preserve">A. </w:t>
            </w:r>
            <w:proofErr w:type="spellStart"/>
            <w:r w:rsidRPr="00D10154">
              <w:rPr>
                <w:b/>
                <w:bCs/>
              </w:rPr>
              <w:t>Azrina</w:t>
            </w:r>
            <w:proofErr w:type="spellEnd"/>
            <w:r>
              <w:t xml:space="preserve">. 2016. Antioxidant Content and Activity in Different Parts of Pomelo [Citrus </w:t>
            </w:r>
            <w:proofErr w:type="spellStart"/>
            <w:r>
              <w:t>grandis</w:t>
            </w:r>
            <w:proofErr w:type="spellEnd"/>
            <w:r>
              <w:t xml:space="preserve"> (L.) </w:t>
            </w:r>
            <w:proofErr w:type="spellStart"/>
            <w:r>
              <w:t>Osbeck</w:t>
            </w:r>
            <w:proofErr w:type="spellEnd"/>
            <w:r>
              <w:t>] By-products. 3rd International Conference on Agricultural and Food Engineering. 23-25 August 2016. Seri Pacific Kuala Lumpur.</w:t>
            </w:r>
          </w:p>
        </w:tc>
      </w:tr>
      <w:tr w:rsidR="00AA4429" w14:paraId="5B43DB82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ACC7F" w14:textId="627987DD" w:rsidR="00AA4429" w:rsidRPr="00AA4429" w:rsidRDefault="00AA4429" w:rsidP="00D21A44"/>
        </w:tc>
      </w:tr>
      <w:tr w:rsidR="00AA4429" w14:paraId="26BAA466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2A758" w14:textId="77777777" w:rsidR="00AA4429" w:rsidRPr="00AA4429" w:rsidRDefault="00AA4429" w:rsidP="00D21A44"/>
        </w:tc>
      </w:tr>
      <w:tr w:rsidR="00AA4429" w14:paraId="2C0795A7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8209A" w14:textId="7C5217AA" w:rsidR="00AA4429" w:rsidRPr="00AA4429" w:rsidRDefault="00AA4429" w:rsidP="00D21A44">
            <w:pPr>
              <w:rPr>
                <w:b/>
                <w:bCs/>
              </w:rPr>
            </w:pPr>
            <w:r w:rsidRPr="00AA4429">
              <w:rPr>
                <w:b/>
                <w:bCs/>
              </w:rPr>
              <w:t>Books (If any)</w:t>
            </w:r>
          </w:p>
        </w:tc>
      </w:tr>
      <w:tr w:rsidR="00AA4429" w14:paraId="05FFF700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52F51" w14:textId="77777777" w:rsidR="00D55694" w:rsidRDefault="00D55694" w:rsidP="00D55694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2020. Healthier and Tastier. UPM Press. (ISBN: 978-967-344-998-9). </w:t>
            </w:r>
          </w:p>
          <w:p w14:paraId="1F351523" w14:textId="17190694" w:rsidR="00D55694" w:rsidRDefault="00D55694" w:rsidP="00D55694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, Amin Ismail (Eds.). 2017. Functional Foods: Wonder of the World. Evidence-based Functional Foods in Health and Disease. UPM Press. In Press (ISBN: 978-967-344-737-4).</w:t>
            </w:r>
          </w:p>
          <w:p w14:paraId="5278A9F8" w14:textId="7816A085" w:rsidR="00D55694" w:rsidRDefault="00D55694" w:rsidP="00D55694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 and Khoo Hock Eng. 2015. Nutritional Quality and Safety of Marine Fish and Shellfish. UPM Press. (ISBN 978-967-344-473-1).</w:t>
            </w:r>
          </w:p>
          <w:p w14:paraId="7A1D6928" w14:textId="77777777" w:rsidR="00D55694" w:rsidRDefault="00D55694" w:rsidP="00D55694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. 2014. Basics of Food Preparation. UPM Press (ISBN 978-967-344-398-7)</w:t>
            </w:r>
          </w:p>
          <w:p w14:paraId="24590420" w14:textId="412D0B48" w:rsidR="00AA4429" w:rsidRPr="00AA4429" w:rsidRDefault="00D55694" w:rsidP="00D55694">
            <w:pPr>
              <w:pStyle w:val="ListParagraph"/>
              <w:numPr>
                <w:ilvl w:val="0"/>
                <w:numId w:val="5"/>
              </w:numPr>
            </w:pPr>
            <w:r>
              <w:t xml:space="preserve">Amin Ismail,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>, Nagendra Prasad, Khoo Hock Eng. 2013. Handbook on Antioxidants. UPM Press. (ISBN: 978-967-344-341-3).</w:t>
            </w:r>
          </w:p>
        </w:tc>
      </w:tr>
      <w:tr w:rsidR="00AA4429" w14:paraId="7491CD6F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E580F9" w14:textId="77777777" w:rsidR="00AA4429" w:rsidRPr="00AA4429" w:rsidRDefault="00AA4429" w:rsidP="00D21A44"/>
        </w:tc>
      </w:tr>
      <w:tr w:rsidR="00AA4429" w14:paraId="593D3C04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EDAE1C" w14:textId="3BCB2F14" w:rsidR="00AA4429" w:rsidRPr="00AA4429" w:rsidRDefault="00AA4429" w:rsidP="00D21A44">
            <w:pPr>
              <w:rPr>
                <w:b/>
                <w:bCs/>
              </w:rPr>
            </w:pPr>
            <w:r w:rsidRPr="00AA4429">
              <w:rPr>
                <w:b/>
                <w:bCs/>
              </w:rPr>
              <w:t>Chapter in Books (If any)</w:t>
            </w:r>
          </w:p>
        </w:tc>
      </w:tr>
      <w:tr w:rsidR="00AA4429" w14:paraId="2FCF36B8" w14:textId="77777777" w:rsidTr="00AA4429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6F047" w14:textId="40BB1CD1" w:rsidR="00D55694" w:rsidRDefault="00D55694" w:rsidP="00703B79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Maryam </w:t>
            </w:r>
            <w:proofErr w:type="spellStart"/>
            <w:r>
              <w:t>Mashmoul</w:t>
            </w:r>
            <w:proofErr w:type="spellEnd"/>
            <w:r>
              <w:t xml:space="preserve"> &amp; Khoo Hock Eng. 2017. Saffron (Crocus sativus): The Miracle Red Spice. In Functional Foods: Wonder of the World. Evidence-based Functional Foods in Health and Disease. UPM</w:t>
            </w:r>
            <w:r w:rsidR="00703B79">
              <w:t xml:space="preserve"> Press</w:t>
            </w:r>
            <w:r>
              <w:t>, Pp172-192. (ISBN: 978-967-344-737-4), (Corresponding author)</w:t>
            </w:r>
          </w:p>
          <w:p w14:paraId="6CBCB9EB" w14:textId="0C074D33" w:rsidR="00D55694" w:rsidRDefault="00D55694" w:rsidP="00703B79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Anuar</w:t>
            </w:r>
            <w:proofErr w:type="spellEnd"/>
            <w:r>
              <w:t xml:space="preserve"> Samad,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 &amp; Amin Ismail. 2017. Health-Promoting Properties of </w:t>
            </w:r>
            <w:proofErr w:type="spellStart"/>
            <w:r>
              <w:t>Nypa</w:t>
            </w:r>
            <w:proofErr w:type="spellEnd"/>
            <w:r>
              <w:t xml:space="preserve"> Palm (</w:t>
            </w:r>
            <w:proofErr w:type="spellStart"/>
            <w:r>
              <w:t>Nypa</w:t>
            </w:r>
            <w:proofErr w:type="spellEnd"/>
            <w:r>
              <w:t xml:space="preserve"> </w:t>
            </w:r>
            <w:proofErr w:type="spellStart"/>
            <w:r>
              <w:t>fruticans</w:t>
            </w:r>
            <w:proofErr w:type="spellEnd"/>
            <w:r>
              <w:t>). In Functional Foods: Wonder of the World. Evidence-based Functional Foods in Health and Disease. UPM Press. Pp86-102. (ISBN: 978-967-344-737-4) (Co-author)</w:t>
            </w:r>
          </w:p>
          <w:p w14:paraId="1F355C64" w14:textId="1B2D3DAA" w:rsidR="00D55694" w:rsidRDefault="00D55694" w:rsidP="00703B79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Alifdalino</w:t>
            </w:r>
            <w:proofErr w:type="spellEnd"/>
            <w:r>
              <w:t xml:space="preserve"> </w:t>
            </w:r>
            <w:proofErr w:type="spellStart"/>
            <w:r>
              <w:t>Sulaiman</w:t>
            </w:r>
            <w:proofErr w:type="spellEnd"/>
            <w:r>
              <w:t xml:space="preserve">, </w:t>
            </w:r>
            <w:proofErr w:type="spellStart"/>
            <w:r>
              <w:t>Rosnah</w:t>
            </w:r>
            <w:proofErr w:type="spellEnd"/>
            <w:r>
              <w:t xml:space="preserve"> </w:t>
            </w:r>
            <w:proofErr w:type="spellStart"/>
            <w:r>
              <w:t>Shamsudin</w:t>
            </w:r>
            <w:proofErr w:type="spellEnd"/>
            <w:r>
              <w:t xml:space="preserve"> &amp;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2017. Limes (Citrus spp.), </w:t>
            </w:r>
            <w:proofErr w:type="spellStart"/>
            <w:r>
              <w:t>Citurs</w:t>
            </w:r>
            <w:proofErr w:type="spellEnd"/>
            <w:r>
              <w:t xml:space="preserve"> Fruit for Detoxification. In Functional Foods: Wonder of the World. Evidence-based Functional Foods in Health and Disease. UPM Press. Pp 59-71. (ISBN: 978-967-344-737-4) (Co-author)</w:t>
            </w:r>
          </w:p>
          <w:p w14:paraId="5D263115" w14:textId="5A84AE18" w:rsidR="00D55694" w:rsidRDefault="00D55694" w:rsidP="00703B7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 xml:space="preserve">Nur </w:t>
            </w:r>
            <w:proofErr w:type="spellStart"/>
            <w:r>
              <w:t>Arina</w:t>
            </w:r>
            <w:proofErr w:type="spellEnd"/>
            <w:r>
              <w:t xml:space="preserve"> Ahmad Jelani,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, Khoo Hock </w:t>
            </w:r>
            <w:proofErr w:type="spellStart"/>
            <w:r>
              <w:t>Eng</w:t>
            </w:r>
            <w:proofErr w:type="spellEnd"/>
            <w:r>
              <w:t xml:space="preserve"> &amp; Amin Ismail. </w:t>
            </w:r>
            <w:proofErr w:type="spellStart"/>
            <w:r>
              <w:t>Dabai</w:t>
            </w:r>
            <w:proofErr w:type="spellEnd"/>
            <w:r>
              <w:t xml:space="preserve"> (</w:t>
            </w:r>
            <w:proofErr w:type="spellStart"/>
            <w:r>
              <w:t>Canarium</w:t>
            </w:r>
            <w:proofErr w:type="spellEnd"/>
            <w:r>
              <w:t xml:space="preserve"> </w:t>
            </w:r>
            <w:proofErr w:type="spellStart"/>
            <w:r>
              <w:t>odontophyllum</w:t>
            </w:r>
            <w:proofErr w:type="spellEnd"/>
            <w:r>
              <w:t>), Fruit with Functional Oil. In Functional Foods: Wonder of the World. Evidence-based Functional Foods in Health and Disease. UPM Press. Pp27-37. (ISBN: 978-967-344-737-4) (Corresponding author)</w:t>
            </w:r>
          </w:p>
          <w:p w14:paraId="08F811CA" w14:textId="7AD13137" w:rsidR="00AA4429" w:rsidRPr="00AA4429" w:rsidRDefault="00D55694" w:rsidP="00703B7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Khoo Hock </w:t>
            </w:r>
            <w:proofErr w:type="spellStart"/>
            <w:r>
              <w:t>Eng</w:t>
            </w:r>
            <w:proofErr w:type="spellEnd"/>
            <w:r>
              <w:t xml:space="preserve">, Amin Ismail, </w:t>
            </w:r>
            <w:proofErr w:type="spellStart"/>
            <w:r w:rsidRPr="00CD1EAB">
              <w:rPr>
                <w:b/>
                <w:bCs/>
              </w:rPr>
              <w:t>Azrina</w:t>
            </w:r>
            <w:proofErr w:type="spellEnd"/>
            <w:r w:rsidRPr="00CD1EAB">
              <w:rPr>
                <w:b/>
                <w:bCs/>
              </w:rPr>
              <w:t xml:space="preserve"> </w:t>
            </w:r>
            <w:proofErr w:type="spellStart"/>
            <w:r w:rsidRPr="00CD1EAB">
              <w:rPr>
                <w:b/>
                <w:bCs/>
              </w:rPr>
              <w:t>Azlan</w:t>
            </w:r>
            <w:proofErr w:type="spellEnd"/>
            <w:r>
              <w:t xml:space="preserve">. 2017. </w:t>
            </w:r>
            <w:proofErr w:type="spellStart"/>
            <w:r>
              <w:t>Bambangan</w:t>
            </w:r>
            <w:proofErr w:type="spellEnd"/>
            <w:r>
              <w:t xml:space="preserve"> (</w:t>
            </w:r>
            <w:proofErr w:type="spellStart"/>
            <w:r>
              <w:t>Mangifera</w:t>
            </w:r>
            <w:proofErr w:type="spellEnd"/>
            <w:r>
              <w:t xml:space="preserve"> </w:t>
            </w:r>
            <w:proofErr w:type="spellStart"/>
            <w:r>
              <w:t>pajang</w:t>
            </w:r>
            <w:proofErr w:type="spellEnd"/>
            <w:r>
              <w:t>), Underutilised Mango with Health Promoting Properties. In Functional Foods: Wonder of the World. Evidence-based Functional Foods in Health and Disease. UPM Press. Pp 3-26. (ISBN: 978-967-344-737-4) (Co-author)</w:t>
            </w:r>
          </w:p>
        </w:tc>
      </w:tr>
    </w:tbl>
    <w:p w14:paraId="73FD2AEF" w14:textId="0B3CB91D" w:rsidR="00AA4429" w:rsidRDefault="00AA4429" w:rsidP="00AA4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A4429" w14:paraId="2FEDF929" w14:textId="77777777" w:rsidTr="00D21A44">
        <w:tc>
          <w:tcPr>
            <w:tcW w:w="10054" w:type="dxa"/>
            <w:shd w:val="clear" w:color="auto" w:fill="C00000"/>
            <w:vAlign w:val="center"/>
          </w:tcPr>
          <w:p w14:paraId="247176F9" w14:textId="2D25291F" w:rsidR="00AA4429" w:rsidRDefault="00AA4429" w:rsidP="00D21A44">
            <w:pPr>
              <w:jc w:val="center"/>
            </w:pPr>
            <w:r>
              <w:t>Research Grants</w:t>
            </w:r>
          </w:p>
        </w:tc>
      </w:tr>
      <w:tr w:rsidR="00AA4429" w14:paraId="5CFD9EA1" w14:textId="77777777" w:rsidTr="00D55694">
        <w:tc>
          <w:tcPr>
            <w:tcW w:w="10054" w:type="dxa"/>
            <w:shd w:val="clear" w:color="auto" w:fill="D9D9D9" w:themeFill="background1" w:themeFillShade="D9"/>
            <w:vAlign w:val="center"/>
          </w:tcPr>
          <w:p w14:paraId="577C7767" w14:textId="5869FB0C" w:rsidR="00AA4429" w:rsidRPr="00AA4429" w:rsidRDefault="00F84175" w:rsidP="00D21A44">
            <w:pPr>
              <w:rPr>
                <w:b/>
                <w:bCs/>
              </w:rPr>
            </w:pPr>
            <w:r>
              <w:rPr>
                <w:b/>
                <w:bCs/>
              </w:rPr>
              <w:t>Received 2020</w:t>
            </w:r>
          </w:p>
        </w:tc>
      </w:tr>
      <w:tr w:rsidR="00AA4429" w14:paraId="1B95B836" w14:textId="77777777" w:rsidTr="00D55694">
        <w:tc>
          <w:tcPr>
            <w:tcW w:w="10054" w:type="dxa"/>
          </w:tcPr>
          <w:p w14:paraId="08BB7C21" w14:textId="23038180" w:rsidR="00AA4429" w:rsidRDefault="00703B79" w:rsidP="00703B79">
            <w:pPr>
              <w:pStyle w:val="ListParagraph"/>
              <w:numPr>
                <w:ilvl w:val="0"/>
                <w:numId w:val="7"/>
              </w:numPr>
            </w:pPr>
            <w:r w:rsidRPr="00703B79">
              <w:t>UPM-CSR Research Project on Health Benefits of</w:t>
            </w:r>
            <w:r>
              <w:t xml:space="preserve"> </w:t>
            </w:r>
            <w:r w:rsidRPr="00703B79">
              <w:t>Antioxidant Sugar</w:t>
            </w:r>
          </w:p>
        </w:tc>
      </w:tr>
      <w:tr w:rsidR="00AA4429" w14:paraId="01EBF879" w14:textId="77777777" w:rsidTr="00D55694">
        <w:tc>
          <w:tcPr>
            <w:tcW w:w="10054" w:type="dxa"/>
          </w:tcPr>
          <w:p w14:paraId="59C8A843" w14:textId="77777777" w:rsidR="00AA4429" w:rsidRDefault="00AA4429" w:rsidP="00D21A44">
            <w:r>
              <w:t>2.</w:t>
            </w:r>
          </w:p>
        </w:tc>
      </w:tr>
      <w:tr w:rsidR="00AA4429" w14:paraId="3577C052" w14:textId="77777777" w:rsidTr="00D55694">
        <w:tc>
          <w:tcPr>
            <w:tcW w:w="10054" w:type="dxa"/>
          </w:tcPr>
          <w:p w14:paraId="3B6F3CAE" w14:textId="77777777" w:rsidR="00AA4429" w:rsidRDefault="00AA4429" w:rsidP="00D21A44"/>
        </w:tc>
      </w:tr>
      <w:tr w:rsidR="00AA4429" w14:paraId="4ED49079" w14:textId="77777777" w:rsidTr="00D55694">
        <w:tc>
          <w:tcPr>
            <w:tcW w:w="10054" w:type="dxa"/>
            <w:shd w:val="clear" w:color="auto" w:fill="D9D9D9" w:themeFill="background1" w:themeFillShade="D9"/>
          </w:tcPr>
          <w:p w14:paraId="4E19CCD9" w14:textId="1166992D" w:rsidR="00AA4429" w:rsidRPr="00F84175" w:rsidRDefault="00AA4429" w:rsidP="00D21A44">
            <w:pPr>
              <w:rPr>
                <w:b/>
                <w:bCs/>
              </w:rPr>
            </w:pPr>
            <w:r w:rsidRPr="00F84175">
              <w:rPr>
                <w:b/>
                <w:bCs/>
              </w:rPr>
              <w:t>On-going</w:t>
            </w:r>
          </w:p>
        </w:tc>
      </w:tr>
      <w:tr w:rsidR="00AA4429" w14:paraId="5598381A" w14:textId="77777777" w:rsidTr="00D55694">
        <w:tc>
          <w:tcPr>
            <w:tcW w:w="10054" w:type="dxa"/>
          </w:tcPr>
          <w:p w14:paraId="4BB76486" w14:textId="5191ACA4" w:rsidR="00AA4429" w:rsidRDefault="00703B79" w:rsidP="00703B79">
            <w:pPr>
              <w:pStyle w:val="ListParagraph"/>
              <w:numPr>
                <w:ilvl w:val="0"/>
                <w:numId w:val="8"/>
              </w:numPr>
            </w:pPr>
            <w:r w:rsidRPr="00703B79">
              <w:t>UPM-CSR Research Project on Health Benefits of Antioxidant Sugar</w:t>
            </w:r>
          </w:p>
        </w:tc>
      </w:tr>
      <w:tr w:rsidR="00AA4429" w14:paraId="4D7C797F" w14:textId="77777777" w:rsidTr="00D55694">
        <w:tc>
          <w:tcPr>
            <w:tcW w:w="10054" w:type="dxa"/>
          </w:tcPr>
          <w:p w14:paraId="4BAD2BF7" w14:textId="77777777" w:rsidR="00AA4429" w:rsidRDefault="00AA4429" w:rsidP="00D21A44"/>
        </w:tc>
      </w:tr>
      <w:tr w:rsidR="00AA4429" w14:paraId="3697E86D" w14:textId="77777777" w:rsidTr="00D55694">
        <w:tc>
          <w:tcPr>
            <w:tcW w:w="10054" w:type="dxa"/>
          </w:tcPr>
          <w:p w14:paraId="4517A168" w14:textId="77777777" w:rsidR="00AA4429" w:rsidRDefault="00AA4429" w:rsidP="00D21A44"/>
        </w:tc>
      </w:tr>
    </w:tbl>
    <w:p w14:paraId="339634B9" w14:textId="57F9532E" w:rsidR="00AA4429" w:rsidRDefault="00AA4429" w:rsidP="00AA4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993"/>
        <w:gridCol w:w="2829"/>
      </w:tblGrid>
      <w:tr w:rsidR="00F84175" w14:paraId="646C9BC4" w14:textId="77777777" w:rsidTr="00D21A44">
        <w:tc>
          <w:tcPr>
            <w:tcW w:w="10054" w:type="dxa"/>
            <w:gridSpan w:val="5"/>
            <w:shd w:val="clear" w:color="auto" w:fill="C00000"/>
            <w:vAlign w:val="center"/>
          </w:tcPr>
          <w:p w14:paraId="7151A67A" w14:textId="77777777" w:rsidR="00F84175" w:rsidRDefault="00F84175" w:rsidP="00D21A44">
            <w:pPr>
              <w:jc w:val="center"/>
            </w:pPr>
            <w:r>
              <w:t>Research Grants</w:t>
            </w:r>
          </w:p>
        </w:tc>
      </w:tr>
      <w:tr w:rsidR="00F84175" w14:paraId="6D757E4D" w14:textId="17A94F63" w:rsidTr="00D5569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A09B60" w14:textId="0670B28A" w:rsidR="00F84175" w:rsidRPr="00AA4429" w:rsidRDefault="00F84175" w:rsidP="00F8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ADB767F" w14:textId="30DED857" w:rsidR="00F84175" w:rsidRPr="00AA4429" w:rsidRDefault="00F84175" w:rsidP="00F8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A9C7C8" w14:textId="0F8720FA" w:rsidR="00F84175" w:rsidRPr="00AA4429" w:rsidRDefault="00F84175" w:rsidP="00F8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(RM)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0468F96" w14:textId="36D7D1A5" w:rsidR="00F84175" w:rsidRPr="00AA4429" w:rsidRDefault="00F84175" w:rsidP="00F84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5557541E" w14:textId="3B8F52AE" w:rsidR="00F84175" w:rsidRPr="00F84175" w:rsidRDefault="00F84175" w:rsidP="00F84175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 of Fund</w:t>
            </w:r>
          </w:p>
        </w:tc>
      </w:tr>
      <w:tr w:rsidR="00F84175" w14:paraId="44925034" w14:textId="138A7C0E" w:rsidTr="00D55694">
        <w:tc>
          <w:tcPr>
            <w:tcW w:w="562" w:type="dxa"/>
          </w:tcPr>
          <w:p w14:paraId="4F7B344D" w14:textId="77777777" w:rsidR="00F84175" w:rsidRDefault="00F84175" w:rsidP="00D21A44">
            <w:r>
              <w:t>1.</w:t>
            </w:r>
          </w:p>
        </w:tc>
        <w:tc>
          <w:tcPr>
            <w:tcW w:w="4111" w:type="dxa"/>
          </w:tcPr>
          <w:p w14:paraId="6810896C" w14:textId="46A3A41E" w:rsidR="00F84175" w:rsidRDefault="00703B79" w:rsidP="00F84175">
            <w:r w:rsidRPr="00703B79">
              <w:t>UPM-CSR Research Project on Health Benefits of Antioxidant Sugar</w:t>
            </w:r>
          </w:p>
        </w:tc>
        <w:tc>
          <w:tcPr>
            <w:tcW w:w="1559" w:type="dxa"/>
          </w:tcPr>
          <w:p w14:paraId="6CE7F111" w14:textId="535F891A" w:rsidR="00F84175" w:rsidRDefault="00703B79" w:rsidP="00F84175">
            <w:r>
              <w:t>750,000.00</w:t>
            </w:r>
          </w:p>
        </w:tc>
        <w:tc>
          <w:tcPr>
            <w:tcW w:w="993" w:type="dxa"/>
          </w:tcPr>
          <w:p w14:paraId="2F776946" w14:textId="0425EB1B" w:rsidR="00F84175" w:rsidRDefault="00703B79" w:rsidP="00F84175">
            <w:r>
              <w:t>2020-2022</w:t>
            </w:r>
          </w:p>
        </w:tc>
        <w:tc>
          <w:tcPr>
            <w:tcW w:w="2829" w:type="dxa"/>
          </w:tcPr>
          <w:p w14:paraId="42C5F03D" w14:textId="5D42FCA7" w:rsidR="00F84175" w:rsidRDefault="00703B79" w:rsidP="00F84175">
            <w:r w:rsidRPr="00703B79">
              <w:t xml:space="preserve">Central Sugars Refinery </w:t>
            </w:r>
            <w:proofErr w:type="spellStart"/>
            <w:r w:rsidRPr="00703B79">
              <w:t>Sdn</w:t>
            </w:r>
            <w:proofErr w:type="spellEnd"/>
            <w:r>
              <w:t>.</w:t>
            </w:r>
            <w:r w:rsidRPr="00703B79">
              <w:t xml:space="preserve"> Bhd</w:t>
            </w:r>
            <w:r>
              <w:t>. (Industry)</w:t>
            </w:r>
          </w:p>
        </w:tc>
      </w:tr>
      <w:tr w:rsidR="00F84175" w14:paraId="0EB1D2F2" w14:textId="19A9C8C1" w:rsidTr="00D55694">
        <w:tc>
          <w:tcPr>
            <w:tcW w:w="562" w:type="dxa"/>
          </w:tcPr>
          <w:p w14:paraId="3C1BB9C0" w14:textId="2F2C3E9F" w:rsidR="00F84175" w:rsidRDefault="00F84175" w:rsidP="00D21A44">
            <w:r>
              <w:t>2</w:t>
            </w:r>
            <w:r w:rsidR="00703B79">
              <w:t>.</w:t>
            </w:r>
          </w:p>
        </w:tc>
        <w:tc>
          <w:tcPr>
            <w:tcW w:w="4111" w:type="dxa"/>
          </w:tcPr>
          <w:p w14:paraId="5BA0E1A1" w14:textId="6CCAA26C" w:rsidR="00F84175" w:rsidRDefault="00703B79" w:rsidP="00703B79">
            <w:r>
              <w:t xml:space="preserve">Elucidation of Metabolic Pathway for Cardioprotective Effect of </w:t>
            </w:r>
            <w:proofErr w:type="spellStart"/>
            <w:r>
              <w:t>Bioactives</w:t>
            </w:r>
            <w:proofErr w:type="spellEnd"/>
            <w:r>
              <w:t xml:space="preserve"> in a Novel Natural Tonic Extract.</w:t>
            </w:r>
          </w:p>
        </w:tc>
        <w:tc>
          <w:tcPr>
            <w:tcW w:w="1559" w:type="dxa"/>
          </w:tcPr>
          <w:p w14:paraId="312E4A9C" w14:textId="63349EB4" w:rsidR="00F84175" w:rsidRDefault="00703B79" w:rsidP="00F84175">
            <w:r w:rsidRPr="00703B79">
              <w:t>127,000.00</w:t>
            </w:r>
          </w:p>
        </w:tc>
        <w:tc>
          <w:tcPr>
            <w:tcW w:w="993" w:type="dxa"/>
          </w:tcPr>
          <w:p w14:paraId="70E82123" w14:textId="2682B250" w:rsidR="00F84175" w:rsidRDefault="00703B79" w:rsidP="00F84175">
            <w:r w:rsidRPr="00703B79">
              <w:t>Aug 2016 - Jan 2019</w:t>
            </w:r>
          </w:p>
        </w:tc>
        <w:tc>
          <w:tcPr>
            <w:tcW w:w="2829" w:type="dxa"/>
          </w:tcPr>
          <w:p w14:paraId="21875F1E" w14:textId="5C89818B" w:rsidR="00F84175" w:rsidRDefault="00703B79" w:rsidP="00F84175">
            <w:r w:rsidRPr="00703B79">
              <w:t>Fundamental Research Grant Scheme (FRGS), MOHE.</w:t>
            </w:r>
          </w:p>
        </w:tc>
      </w:tr>
      <w:tr w:rsidR="00F84175" w14:paraId="3F03D8D7" w14:textId="0D3C306C" w:rsidTr="00D55694">
        <w:tc>
          <w:tcPr>
            <w:tcW w:w="562" w:type="dxa"/>
          </w:tcPr>
          <w:p w14:paraId="56F6395F" w14:textId="02F7858A" w:rsidR="00F84175" w:rsidRDefault="00703B79" w:rsidP="00D21A44">
            <w:r>
              <w:t>3.</w:t>
            </w:r>
          </w:p>
        </w:tc>
        <w:tc>
          <w:tcPr>
            <w:tcW w:w="4111" w:type="dxa"/>
          </w:tcPr>
          <w:p w14:paraId="2F3B60C5" w14:textId="481FF523" w:rsidR="00F84175" w:rsidRDefault="00703B79" w:rsidP="00D21A44">
            <w:r w:rsidRPr="00703B79">
              <w:t xml:space="preserve">Antioxidant and Anti-obesity Properties of Selected Local Chillies Species (MC4, MC5, MC11, MC12, Habanero, Bird eye chilies, </w:t>
            </w:r>
            <w:proofErr w:type="spellStart"/>
            <w:r w:rsidRPr="00703B79">
              <w:t>Cili</w:t>
            </w:r>
            <w:proofErr w:type="spellEnd"/>
            <w:r w:rsidRPr="00703B79">
              <w:t xml:space="preserve"> </w:t>
            </w:r>
            <w:proofErr w:type="spellStart"/>
            <w:r w:rsidRPr="00703B79">
              <w:t>bangi</w:t>
            </w:r>
            <w:proofErr w:type="spellEnd"/>
            <w:r w:rsidRPr="00703B79">
              <w:t>, Bell pepper) in Malaysia,</w:t>
            </w:r>
          </w:p>
        </w:tc>
        <w:tc>
          <w:tcPr>
            <w:tcW w:w="1559" w:type="dxa"/>
          </w:tcPr>
          <w:p w14:paraId="1AC2EF4E" w14:textId="1C4E6803" w:rsidR="00F84175" w:rsidRDefault="00703B79" w:rsidP="00D21A44">
            <w:r w:rsidRPr="00703B79">
              <w:t>20,000.00</w:t>
            </w:r>
          </w:p>
        </w:tc>
        <w:tc>
          <w:tcPr>
            <w:tcW w:w="993" w:type="dxa"/>
          </w:tcPr>
          <w:p w14:paraId="5B412FE1" w14:textId="49BFACF3" w:rsidR="00F84175" w:rsidRDefault="007C62D4" w:rsidP="00D21A44">
            <w:r w:rsidRPr="007C62D4">
              <w:t>Dec 2016- Dec 2018.</w:t>
            </w:r>
          </w:p>
        </w:tc>
        <w:tc>
          <w:tcPr>
            <w:tcW w:w="2829" w:type="dxa"/>
          </w:tcPr>
          <w:p w14:paraId="591A667D" w14:textId="54BBCE55" w:rsidR="00F84175" w:rsidRDefault="007C62D4" w:rsidP="00D21A44">
            <w:proofErr w:type="spellStart"/>
            <w:r w:rsidRPr="007C62D4">
              <w:t>Geran</w:t>
            </w:r>
            <w:proofErr w:type="spellEnd"/>
            <w:r w:rsidRPr="007C62D4">
              <w:t xml:space="preserve"> Putra</w:t>
            </w:r>
            <w:r>
              <w:t xml:space="preserve"> (IPS)</w:t>
            </w:r>
            <w:r w:rsidRPr="007C62D4">
              <w:t>, UPM</w:t>
            </w:r>
          </w:p>
        </w:tc>
      </w:tr>
      <w:tr w:rsidR="00F84175" w14:paraId="70680352" w14:textId="77777777" w:rsidTr="00D55694">
        <w:tc>
          <w:tcPr>
            <w:tcW w:w="562" w:type="dxa"/>
          </w:tcPr>
          <w:p w14:paraId="3C3F58C0" w14:textId="6EDC6282" w:rsidR="00F84175" w:rsidRDefault="007C62D4" w:rsidP="007C62D4">
            <w:r>
              <w:t>4.</w:t>
            </w:r>
          </w:p>
        </w:tc>
        <w:tc>
          <w:tcPr>
            <w:tcW w:w="4111" w:type="dxa"/>
          </w:tcPr>
          <w:p w14:paraId="653CA2D4" w14:textId="4BBA4789" w:rsidR="00F84175" w:rsidRDefault="007C62D4" w:rsidP="00D21A44">
            <w:r w:rsidRPr="007C62D4">
              <w:t xml:space="preserve">Toxicity and Efficacy of Supercritical Carbon Dioxide Extracted C-Heart Oil from </w:t>
            </w:r>
            <w:proofErr w:type="spellStart"/>
            <w:r w:rsidRPr="007C62D4">
              <w:t>Dabai</w:t>
            </w:r>
            <w:proofErr w:type="spellEnd"/>
            <w:r w:rsidRPr="007C62D4">
              <w:t xml:space="preserve"> Pulp</w:t>
            </w:r>
          </w:p>
        </w:tc>
        <w:tc>
          <w:tcPr>
            <w:tcW w:w="1559" w:type="dxa"/>
          </w:tcPr>
          <w:p w14:paraId="623F7A20" w14:textId="336D86FA" w:rsidR="00F84175" w:rsidRDefault="007C62D4" w:rsidP="00D21A44">
            <w:r w:rsidRPr="007C62D4">
              <w:t>281,400.00</w:t>
            </w:r>
          </w:p>
        </w:tc>
        <w:tc>
          <w:tcPr>
            <w:tcW w:w="993" w:type="dxa"/>
          </w:tcPr>
          <w:p w14:paraId="383D1908" w14:textId="787A9E83" w:rsidR="00F84175" w:rsidRDefault="007C62D4" w:rsidP="00D21A44">
            <w:r w:rsidRPr="007C62D4">
              <w:t>2016-2018</w:t>
            </w:r>
          </w:p>
        </w:tc>
        <w:tc>
          <w:tcPr>
            <w:tcW w:w="2829" w:type="dxa"/>
          </w:tcPr>
          <w:p w14:paraId="1AF627F8" w14:textId="27384013" w:rsidR="00F84175" w:rsidRDefault="007C62D4" w:rsidP="00D21A44">
            <w:proofErr w:type="spellStart"/>
            <w:r w:rsidRPr="007C62D4">
              <w:t>Geran</w:t>
            </w:r>
            <w:proofErr w:type="spellEnd"/>
            <w:r w:rsidRPr="007C62D4">
              <w:t xml:space="preserve"> Putra</w:t>
            </w:r>
            <w:r>
              <w:t xml:space="preserve"> (Putra </w:t>
            </w:r>
            <w:proofErr w:type="spellStart"/>
            <w:r>
              <w:t>Inovasi</w:t>
            </w:r>
            <w:proofErr w:type="spellEnd"/>
            <w:r>
              <w:t>)</w:t>
            </w:r>
            <w:r w:rsidRPr="007C62D4">
              <w:t>, UPM</w:t>
            </w:r>
          </w:p>
        </w:tc>
      </w:tr>
    </w:tbl>
    <w:p w14:paraId="12F8E40E" w14:textId="73D0FDAE" w:rsidR="00F84175" w:rsidRDefault="00F84175" w:rsidP="00AA4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2551"/>
        <w:gridCol w:w="1276"/>
        <w:gridCol w:w="1134"/>
        <w:gridCol w:w="1412"/>
      </w:tblGrid>
      <w:tr w:rsidR="00F84175" w14:paraId="403A2620" w14:textId="77777777" w:rsidTr="00A7151A">
        <w:tc>
          <w:tcPr>
            <w:tcW w:w="10054" w:type="dxa"/>
            <w:gridSpan w:val="7"/>
            <w:shd w:val="clear" w:color="auto" w:fill="C00000"/>
            <w:vAlign w:val="center"/>
          </w:tcPr>
          <w:p w14:paraId="4193052B" w14:textId="6B8B1850" w:rsidR="00F84175" w:rsidRPr="00F84175" w:rsidRDefault="00F84175" w:rsidP="00D21A44">
            <w:pPr>
              <w:jc w:val="center"/>
              <w:rPr>
                <w:rFonts w:ascii="Arial" w:hAnsi="Arial" w:cs="Arial"/>
              </w:rPr>
            </w:pPr>
            <w:r w:rsidRPr="00F84175">
              <w:rPr>
                <w:rFonts w:ascii="Arial" w:hAnsi="Arial" w:cs="Arial"/>
                <w:b/>
                <w:color w:val="FFFFFF"/>
                <w:sz w:val="20"/>
              </w:rPr>
              <w:t>Awards/ Recognition (Current)</w:t>
            </w:r>
          </w:p>
        </w:tc>
      </w:tr>
      <w:tr w:rsidR="00F84175" w14:paraId="7F6283B1" w14:textId="77777777" w:rsidTr="00A7151A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7BDC" w14:textId="77777777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D5F6B" w14:textId="1266CE57" w:rsidR="00F84175" w:rsidRPr="00F84175" w:rsidRDefault="00F84175" w:rsidP="00F84175">
            <w:pPr>
              <w:pStyle w:val="TableParagraph"/>
              <w:spacing w:line="225" w:lineRule="exact"/>
              <w:ind w:left="132"/>
              <w:jc w:val="center"/>
              <w:rPr>
                <w:b/>
                <w:sz w:val="20"/>
                <w:szCs w:val="20"/>
              </w:rPr>
            </w:pPr>
            <w:r w:rsidRPr="00F84175">
              <w:rPr>
                <w:b/>
                <w:sz w:val="20"/>
                <w:szCs w:val="20"/>
              </w:rPr>
              <w:t>Name of awards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26410" w14:textId="49C9E156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sz w:val="20"/>
                <w:szCs w:val="20"/>
              </w:rPr>
              <w:t>Award Authority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58BA3" w14:textId="36AC3001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sz w:val="20"/>
                <w:szCs w:val="20"/>
              </w:rPr>
              <w:t>Award Type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AAD2D" w14:textId="0C12F90E" w:rsidR="00F84175" w:rsidRPr="00F84175" w:rsidRDefault="00F84175" w:rsidP="00F84175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F84175">
              <w:rPr>
                <w:b/>
                <w:sz w:val="20"/>
                <w:szCs w:val="20"/>
              </w:rPr>
              <w:t>Year</w:t>
            </w:r>
          </w:p>
        </w:tc>
      </w:tr>
      <w:tr w:rsidR="00F84175" w14:paraId="56129CB9" w14:textId="77777777" w:rsidTr="00A71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02C" w14:textId="1DE319D7" w:rsidR="00F84175" w:rsidRDefault="00F84175" w:rsidP="00A6502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6A1" w14:textId="4C66A7EF" w:rsidR="00F84175" w:rsidRDefault="00A65022" w:rsidP="00A65022">
            <w:proofErr w:type="spellStart"/>
            <w:r w:rsidRPr="00A65022">
              <w:t>Anugerah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Penyelidik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Berprestasi</w:t>
            </w:r>
            <w:proofErr w:type="spellEnd"/>
            <w:r w:rsidRPr="00A65022">
              <w:t xml:space="preserve"> Tinggi </w:t>
            </w:r>
            <w:proofErr w:type="spellStart"/>
            <w:r w:rsidRPr="00A65022">
              <w:t>Kategori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Sains</w:t>
            </w:r>
            <w:proofErr w:type="spellEnd"/>
            <w:r w:rsidRPr="00A65022">
              <w:t xml:space="preserve"> Kesihatan – </w:t>
            </w:r>
            <w:proofErr w:type="spellStart"/>
            <w:r w:rsidRPr="00A65022">
              <w:t>Anugerah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Penyelidikan</w:t>
            </w:r>
            <w:proofErr w:type="spellEnd"/>
            <w:r w:rsidRPr="00A65022">
              <w:t xml:space="preserve">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37D" w14:textId="011E0AF8" w:rsidR="00F84175" w:rsidRDefault="00A65022" w:rsidP="00D21A44">
            <w:r>
              <w:t>FPSK, UPM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862" w14:textId="13865CE1" w:rsidR="00F84175" w:rsidRDefault="00A65022" w:rsidP="00D21A44">
            <w:r>
              <w:t>Research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8C0" w14:textId="482E5D07" w:rsidR="00F84175" w:rsidRDefault="00A65022" w:rsidP="00D21A44">
            <w:r>
              <w:t>2017</w:t>
            </w:r>
          </w:p>
        </w:tc>
      </w:tr>
      <w:tr w:rsidR="00F84175" w14:paraId="6A87FF56" w14:textId="77777777" w:rsidTr="00A71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048" w14:textId="77777777" w:rsidR="00F84175" w:rsidRDefault="00F84175" w:rsidP="00D21A44">
            <w: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34A" w14:textId="30A14C38" w:rsidR="00F84175" w:rsidRDefault="00A65022" w:rsidP="00A65022">
            <w:r w:rsidRPr="00A65022">
              <w:t>Gold Medal at “</w:t>
            </w:r>
            <w:proofErr w:type="spellStart"/>
            <w:r w:rsidRPr="00A65022">
              <w:t>Pameran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Reka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Cipta</w:t>
            </w:r>
            <w:proofErr w:type="spellEnd"/>
            <w:r w:rsidRPr="00A65022">
              <w:t xml:space="preserve"> </w:t>
            </w:r>
            <w:proofErr w:type="spellStart"/>
            <w:r w:rsidRPr="00A65022">
              <w:t>Penyelidikan</w:t>
            </w:r>
            <w:proofErr w:type="spellEnd"/>
            <w:r w:rsidRPr="00A65022">
              <w:t xml:space="preserve"> dan </w:t>
            </w:r>
            <w:proofErr w:type="spellStart"/>
            <w:r w:rsidRPr="00A65022">
              <w:t>Inovasi</w:t>
            </w:r>
            <w:proofErr w:type="spellEnd"/>
            <w:r w:rsidRPr="00A65022">
              <w:t xml:space="preserve">” (PRPI 2016), 15-16 November 2016 </w:t>
            </w:r>
            <w:proofErr w:type="spellStart"/>
            <w:r w:rsidRPr="00A65022">
              <w:t>Universiti</w:t>
            </w:r>
            <w:proofErr w:type="spellEnd"/>
            <w:r w:rsidRPr="00A65022">
              <w:t xml:space="preserve"> Putra Malaysia, National. [</w:t>
            </w:r>
            <w:proofErr w:type="spellStart"/>
            <w:r w:rsidRPr="00A65022">
              <w:t>Basella</w:t>
            </w:r>
            <w:proofErr w:type="spellEnd"/>
            <w:r w:rsidRPr="00A65022">
              <w:t xml:space="preserve"> alba. A Superfood for Alleviating Hypercholesterolemia and Atherosclerosis]. </w:t>
            </w:r>
            <w:proofErr w:type="spellStart"/>
            <w:r w:rsidRPr="00A65022">
              <w:t>Universiti</w:t>
            </w:r>
            <w:proofErr w:type="spellEnd"/>
            <w:r w:rsidRPr="00A65022">
              <w:t xml:space="preserve"> Putra Malaysia, National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C25" w14:textId="15FEBD65" w:rsidR="00F84175" w:rsidRDefault="00A65022" w:rsidP="00D21A44">
            <w:r>
              <w:t>UPM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579" w14:textId="74218DE9" w:rsidR="00F84175" w:rsidRDefault="00A65022" w:rsidP="00D21A44">
            <w:r>
              <w:t>Research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A83" w14:textId="0F663872" w:rsidR="00F84175" w:rsidRDefault="00A65022" w:rsidP="00D21A44">
            <w:r>
              <w:t>2016</w:t>
            </w:r>
          </w:p>
        </w:tc>
      </w:tr>
      <w:tr w:rsidR="000F71DF" w14:paraId="7D42718E" w14:textId="77777777" w:rsidTr="00A71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83B" w14:textId="77777777" w:rsidR="000F71DF" w:rsidRDefault="000F71DF" w:rsidP="00D21A44"/>
          <w:p w14:paraId="159E13F1" w14:textId="790B5682" w:rsidR="000F71DF" w:rsidRDefault="000F71DF" w:rsidP="00D21A44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028" w14:textId="77777777" w:rsidR="000F71DF" w:rsidRPr="00A65022" w:rsidRDefault="000F71DF" w:rsidP="00A6502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3CC" w14:textId="77777777" w:rsidR="000F71DF" w:rsidRDefault="000F71DF" w:rsidP="00D21A4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6ED" w14:textId="77777777" w:rsidR="000F71DF" w:rsidRDefault="000F71DF" w:rsidP="00D21A4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651" w14:textId="77777777" w:rsidR="000F71DF" w:rsidRDefault="000F71DF" w:rsidP="00D21A44"/>
        </w:tc>
      </w:tr>
      <w:tr w:rsidR="00F84175" w14:paraId="6196484D" w14:textId="77777777" w:rsidTr="00A7151A">
        <w:tc>
          <w:tcPr>
            <w:tcW w:w="10054" w:type="dxa"/>
            <w:gridSpan w:val="7"/>
            <w:shd w:val="clear" w:color="auto" w:fill="C00000"/>
          </w:tcPr>
          <w:p w14:paraId="4D69740F" w14:textId="3880B2B8" w:rsidR="00F84175" w:rsidRPr="00F84175" w:rsidRDefault="00F84175" w:rsidP="00F84175">
            <w:pPr>
              <w:jc w:val="center"/>
              <w:rPr>
                <w:rFonts w:ascii="Arial" w:hAnsi="Arial" w:cs="Arial"/>
              </w:rPr>
            </w:pPr>
            <w:r w:rsidRPr="00F84175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Professional Services/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F84175">
              <w:rPr>
                <w:rFonts w:ascii="Arial" w:hAnsi="Arial" w:cs="Arial"/>
                <w:b/>
                <w:color w:val="FFFFFF"/>
                <w:sz w:val="20"/>
              </w:rPr>
              <w:t>Consultation</w:t>
            </w:r>
          </w:p>
        </w:tc>
      </w:tr>
      <w:tr w:rsidR="00F84175" w14:paraId="06C577DE" w14:textId="77777777" w:rsidTr="00A7151A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0AA02" w14:textId="77777777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6E81D" w14:textId="19C224A2" w:rsidR="00F84175" w:rsidRPr="00F84175" w:rsidRDefault="00F84175" w:rsidP="00F84175">
            <w:pPr>
              <w:pStyle w:val="TableParagraph"/>
              <w:spacing w:line="225" w:lineRule="exact"/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3951F" w14:textId="2A8F3C4D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CB861" w14:textId="2BE23E45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</w:tc>
      </w:tr>
      <w:tr w:rsidR="00F84175" w14:paraId="677E3B45" w14:textId="77777777" w:rsidTr="00A7151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42DCD" w14:textId="77777777" w:rsidR="00F84175" w:rsidRDefault="00F84175" w:rsidP="00F84175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E0D7B" w14:textId="1D020392" w:rsidR="00F84175" w:rsidRDefault="003D6248" w:rsidP="00F84175">
            <w:r w:rsidRPr="003D6248">
              <w:t>Feb 2019- 31 Jan 2020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7F2C3" w14:textId="521F22A4" w:rsidR="00F84175" w:rsidRDefault="00390899" w:rsidP="00F84175">
            <w:r w:rsidRPr="00390899">
              <w:t>Glycaemic Index and acute Effects of Low GI Sugar and Other Sugars on Post</w:t>
            </w:r>
            <w:r>
              <w:t>p</w:t>
            </w:r>
            <w:r w:rsidRPr="00390899">
              <w:t xml:space="preserve">randial Metabolism and Satiety in Healthy Individuals. Contract Research. Central Sugar Refinery </w:t>
            </w:r>
            <w:proofErr w:type="spellStart"/>
            <w:r w:rsidRPr="00390899">
              <w:t>Sdn</w:t>
            </w:r>
            <w:proofErr w:type="spellEnd"/>
            <w:r w:rsidRPr="00390899">
              <w:t xml:space="preserve">. </w:t>
            </w:r>
            <w:proofErr w:type="spellStart"/>
            <w:r w:rsidRPr="00390899">
              <w:t>Bhd</w:t>
            </w:r>
            <w:proofErr w:type="spellEnd"/>
            <w:r w:rsidRPr="00390899">
              <w:t xml:space="preserve"> (99042-V). RM172,568.00</w:t>
            </w:r>
            <w:r w:rsidR="003D6248"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FCD4" w14:textId="1FD4D785" w:rsidR="00F84175" w:rsidRDefault="00390899" w:rsidP="00F84175">
            <w:r>
              <w:t>UPMCS</w:t>
            </w:r>
          </w:p>
        </w:tc>
      </w:tr>
      <w:tr w:rsidR="00BC0E16" w14:paraId="02124D45" w14:textId="77777777" w:rsidTr="00A7151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5BCCF" w14:textId="742DFD6D" w:rsidR="00BC0E16" w:rsidRDefault="00BC0E16" w:rsidP="00F84175"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940B0" w14:textId="25516DD9" w:rsidR="00BC0E16" w:rsidRDefault="00A7151A" w:rsidP="00F84175">
            <w:r>
              <w:t>July 2019 – Aug 2020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7EE96" w14:textId="77777777" w:rsidR="00A7151A" w:rsidRDefault="00BC0E16" w:rsidP="00A7151A">
            <w:r w:rsidRPr="00BC0E16">
              <w:t xml:space="preserve">Student’s Perception, Knowledge, Attitude </w:t>
            </w:r>
            <w:r>
              <w:t>a</w:t>
            </w:r>
            <w:r w:rsidRPr="00BC0E16">
              <w:t>nd Behavio</w:t>
            </w:r>
            <w:r w:rsidR="00A7151A">
              <w:t>u</w:t>
            </w:r>
            <w:r w:rsidRPr="00BC0E16">
              <w:t>r Toward Halal Food Products Between Indonesia And Malaysia</w:t>
            </w:r>
            <w:r w:rsidR="00A7151A">
              <w:t>. Faculty of Mathematics and Natural Sciences</w:t>
            </w:r>
          </w:p>
          <w:p w14:paraId="3033AAEE" w14:textId="1D170308" w:rsidR="00BC0E16" w:rsidRPr="00390899" w:rsidRDefault="00A7151A" w:rsidP="00A7151A">
            <w:proofErr w:type="spellStart"/>
            <w:r>
              <w:t>Universitas</w:t>
            </w:r>
            <w:proofErr w:type="spellEnd"/>
            <w:r>
              <w:t xml:space="preserve"> Negeri Semarang, Indonesia</w:t>
            </w:r>
            <w:r w:rsidR="003D6248">
              <w:t>. RM3008.00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14434" w14:textId="7F64206A" w:rsidR="00BC0E16" w:rsidRDefault="00BC0E16" w:rsidP="00F84175">
            <w:r>
              <w:t>UPMCS</w:t>
            </w:r>
          </w:p>
        </w:tc>
      </w:tr>
      <w:tr w:rsidR="00F84175" w14:paraId="3F9899A7" w14:textId="77777777" w:rsidTr="00A7151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4BB67" w14:textId="3D33BD5B" w:rsidR="00F84175" w:rsidRDefault="00BC0E16" w:rsidP="00F84175">
            <w:r>
              <w:t>3</w:t>
            </w:r>
            <w:r w:rsidR="00F8417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497D" w14:textId="53C12F6C" w:rsidR="00F84175" w:rsidRDefault="00390899" w:rsidP="00F84175">
            <w:r>
              <w:t>2018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E2FFB" w14:textId="4AB12C52" w:rsidR="00F84175" w:rsidRDefault="00390899" w:rsidP="00F84175">
            <w:r w:rsidRPr="00390899">
              <w:t xml:space="preserve">The Truth about Superfoods’- Positive Parenting booklet. </w:t>
            </w:r>
            <w:proofErr w:type="spellStart"/>
            <w:r w:rsidRPr="00390899">
              <w:t>Versacomm</w:t>
            </w:r>
            <w:proofErr w:type="spellEnd"/>
            <w:r w:rsidRPr="00390899">
              <w:t xml:space="preserve"> </w:t>
            </w:r>
            <w:proofErr w:type="spellStart"/>
            <w:r w:rsidRPr="00390899">
              <w:t>Sdn</w:t>
            </w:r>
            <w:proofErr w:type="spellEnd"/>
            <w:r w:rsidRPr="00390899">
              <w:t xml:space="preserve">. Bhd.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3756C" w14:textId="688FF90E" w:rsidR="00F84175" w:rsidRDefault="00390899" w:rsidP="00F84175">
            <w:r>
              <w:t>FPSK</w:t>
            </w:r>
          </w:p>
        </w:tc>
      </w:tr>
      <w:tr w:rsidR="00F84175" w14:paraId="5D114D9B" w14:textId="77777777" w:rsidTr="00A7151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B761B" w14:textId="2686CCE8" w:rsidR="00F84175" w:rsidRDefault="00BC0E16" w:rsidP="00F84175">
            <w:r>
              <w:t>4</w:t>
            </w:r>
            <w:r w:rsidR="0039089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ECCDD" w14:textId="03D41B1E" w:rsidR="00F84175" w:rsidRDefault="00912960" w:rsidP="00F84175">
            <w:r w:rsidRPr="00912960">
              <w:t>22 Feb 2018 – 21 Feb</w:t>
            </w:r>
            <w:r w:rsidR="00BC0E16">
              <w:t xml:space="preserve"> </w:t>
            </w:r>
            <w:r w:rsidRPr="00912960">
              <w:t>2019 (Yearl</w:t>
            </w:r>
            <w:r w:rsidR="00BC0E16">
              <w:t>y</w:t>
            </w:r>
            <w:r w:rsidRPr="00912960"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61912" w14:textId="7A4671D6" w:rsidR="00F84175" w:rsidRDefault="00912960" w:rsidP="00F84175">
            <w:r w:rsidRPr="00912960">
              <w:t xml:space="preserve">Nutrigenomics and Personalized Nutrition Consultancy Project. </w:t>
            </w:r>
            <w:proofErr w:type="spellStart"/>
            <w:r w:rsidRPr="00912960">
              <w:t>Genecare</w:t>
            </w:r>
            <w:proofErr w:type="spellEnd"/>
            <w:r w:rsidRPr="00912960">
              <w:t xml:space="preserve"> </w:t>
            </w:r>
            <w:proofErr w:type="spellStart"/>
            <w:r w:rsidRPr="00912960">
              <w:t>Sdn</w:t>
            </w:r>
            <w:proofErr w:type="spellEnd"/>
            <w:r w:rsidRPr="00912960">
              <w:t>. Bhd. (1221272-T)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C98C3" w14:textId="0B0FC6D0" w:rsidR="00F84175" w:rsidRDefault="00912960" w:rsidP="00F84175">
            <w:r>
              <w:t>UPMCS</w:t>
            </w:r>
          </w:p>
        </w:tc>
      </w:tr>
    </w:tbl>
    <w:p w14:paraId="00EADE94" w14:textId="74DB62B4" w:rsidR="00F84175" w:rsidRDefault="00F84175" w:rsidP="00AA4429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562"/>
        <w:gridCol w:w="333"/>
        <w:gridCol w:w="1085"/>
        <w:gridCol w:w="1435"/>
        <w:gridCol w:w="4093"/>
        <w:gridCol w:w="658"/>
        <w:gridCol w:w="1888"/>
      </w:tblGrid>
      <w:tr w:rsidR="00F84175" w14:paraId="58E16CD0" w14:textId="77777777" w:rsidTr="00694425">
        <w:tc>
          <w:tcPr>
            <w:tcW w:w="10054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3B9832CB" w14:textId="3A7F12C4" w:rsidR="00F84175" w:rsidRPr="00F84175" w:rsidRDefault="00F84175" w:rsidP="00D21A44">
            <w:pPr>
              <w:jc w:val="center"/>
              <w:rPr>
                <w:rFonts w:ascii="Arial" w:hAnsi="Arial" w:cs="Arial"/>
              </w:rPr>
            </w:pPr>
            <w:r w:rsidRPr="00F84175">
              <w:rPr>
                <w:rFonts w:ascii="Arial" w:hAnsi="Arial" w:cs="Arial"/>
                <w:b/>
                <w:color w:val="FFFFFF"/>
                <w:sz w:val="20"/>
              </w:rPr>
              <w:t>Student Supervision</w:t>
            </w:r>
          </w:p>
        </w:tc>
      </w:tr>
      <w:tr w:rsidR="00F84175" w14:paraId="2B2EBF56" w14:textId="77777777" w:rsidTr="00694425">
        <w:tc>
          <w:tcPr>
            <w:tcW w:w="10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A182" w14:textId="3E256365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PhD (Main Supervisor)</w:t>
            </w:r>
          </w:p>
        </w:tc>
      </w:tr>
      <w:tr w:rsidR="00F84175" w14:paraId="4D472C0E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C6F14" w14:textId="180984D9" w:rsidR="00F84175" w:rsidRPr="00F84175" w:rsidRDefault="00F84175" w:rsidP="00F84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24B0" w14:textId="07F74C66" w:rsidR="00F84175" w:rsidRDefault="00694425" w:rsidP="00F84175">
            <w:pPr>
              <w:pStyle w:val="TableParagraph"/>
              <w:spacing w:line="225" w:lineRule="exact"/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24649" w14:textId="12F0A24E" w:rsidR="00F84175" w:rsidRDefault="00F84175" w:rsidP="00F84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F29E5" w14:textId="05E37E36" w:rsidR="00F84175" w:rsidRDefault="00694425" w:rsidP="00F84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7B2F7D" w14:paraId="580A758B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4A3" w14:textId="1D4A3F2E" w:rsidR="007B2F7D" w:rsidRDefault="007B2F7D" w:rsidP="00F84175">
            <w: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6D5" w14:textId="45B288E0" w:rsidR="007B2F7D" w:rsidRPr="00626CBB" w:rsidRDefault="007B2F7D" w:rsidP="00F84175">
            <w:r w:rsidRPr="007B2F7D">
              <w:t xml:space="preserve">Khoo Hock </w:t>
            </w:r>
            <w:proofErr w:type="spellStart"/>
            <w:r w:rsidRPr="007B2F7D">
              <w:t>Eng</w:t>
            </w:r>
            <w:proofErr w:type="spellEnd"/>
            <w:r w:rsidRPr="007B2F7D">
              <w:t xml:space="preserve"> (GS27264)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3E7" w14:textId="1BD4ADDE" w:rsidR="007B2F7D" w:rsidRPr="007B2F7D" w:rsidRDefault="007B2F7D" w:rsidP="00F84175">
            <w:r w:rsidRPr="007B2F7D">
              <w:t xml:space="preserve">Determination of </w:t>
            </w:r>
            <w:proofErr w:type="spellStart"/>
            <w:r w:rsidRPr="007B2F7D">
              <w:t>Dabai</w:t>
            </w:r>
            <w:proofErr w:type="spellEnd"/>
            <w:r w:rsidRPr="007B2F7D">
              <w:t xml:space="preserve"> Polyphenol Contents, Antioxidant Properties and Cardio-Protective Activities of </w:t>
            </w:r>
            <w:proofErr w:type="spellStart"/>
            <w:r w:rsidRPr="007B2F7D">
              <w:t>Dabai</w:t>
            </w:r>
            <w:proofErr w:type="spellEnd"/>
            <w:r w:rsidRPr="007B2F7D">
              <w:t xml:space="preserve"> Polyphenol-Rich Fractions Using Cell Cultures And In Vitro Assays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313" w14:textId="213DE327" w:rsidR="007B2F7D" w:rsidRDefault="007B2F7D" w:rsidP="00F84175">
            <w:r>
              <w:t>Graduated</w:t>
            </w:r>
          </w:p>
        </w:tc>
      </w:tr>
      <w:tr w:rsidR="007B2F7D" w14:paraId="4C63A908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21C" w14:textId="2B6E0827" w:rsidR="007B2F7D" w:rsidRDefault="007B2F7D" w:rsidP="00F84175">
            <w: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F5A" w14:textId="44702ADC" w:rsidR="007B2F7D" w:rsidRPr="00626CBB" w:rsidRDefault="007B2F7D" w:rsidP="00F84175">
            <w:proofErr w:type="spellStart"/>
            <w:r w:rsidRPr="007B2F7D">
              <w:t>Azila</w:t>
            </w:r>
            <w:proofErr w:type="spellEnd"/>
            <w:r w:rsidRPr="007B2F7D">
              <w:t xml:space="preserve"> Abdul Karim (GS30038)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57F" w14:textId="785B451E" w:rsidR="007B2F7D" w:rsidRPr="007B2F7D" w:rsidRDefault="007B2F7D" w:rsidP="00F84175">
            <w:r w:rsidRPr="007B2F7D">
              <w:t>Potential Use of Cocoa Shell and Pod Extract for Halal Skin Care Product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CA6" w14:textId="40FCA2FF" w:rsidR="007B2F7D" w:rsidRDefault="007B2F7D" w:rsidP="00F84175">
            <w:r w:rsidRPr="007B2F7D">
              <w:t>Graduated</w:t>
            </w:r>
          </w:p>
        </w:tc>
      </w:tr>
      <w:tr w:rsidR="007B2F7D" w14:paraId="3F0026ED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54D" w14:textId="02EF4328" w:rsidR="007B2F7D" w:rsidRDefault="007B2F7D" w:rsidP="00F84175">
            <w: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BEE" w14:textId="161A5C75" w:rsidR="007B2F7D" w:rsidRPr="00626CBB" w:rsidRDefault="007B2F7D" w:rsidP="00F84175">
            <w:r w:rsidRPr="007B2F7D">
              <w:t xml:space="preserve">Maryam </w:t>
            </w:r>
            <w:proofErr w:type="spellStart"/>
            <w:r w:rsidRPr="007B2F7D">
              <w:t>Mashmoul</w:t>
            </w:r>
            <w:proofErr w:type="spellEnd"/>
            <w:r w:rsidRPr="007B2F7D">
              <w:t xml:space="preserve"> (GS32846)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4F3" w14:textId="21BDABAA" w:rsidR="007B2F7D" w:rsidRPr="007B2F7D" w:rsidRDefault="007B2F7D" w:rsidP="00F84175">
            <w:r w:rsidRPr="007B2F7D">
              <w:t>Effects of Ethanolic Extract and A Pure Bioactive Compound (Crocin) of Saffron on Obesity Induced Diabetic Rats Fed A High Fed Diet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FCD" w14:textId="70A39D91" w:rsidR="007B2F7D" w:rsidRDefault="007B2F7D" w:rsidP="00F84175">
            <w:r w:rsidRPr="007B2F7D">
              <w:t>Graduated</w:t>
            </w:r>
          </w:p>
        </w:tc>
      </w:tr>
      <w:tr w:rsidR="00F84175" w14:paraId="1EA99436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82E" w14:textId="2415603E" w:rsidR="00F84175" w:rsidRDefault="007B2F7D" w:rsidP="00F84175">
            <w:r>
              <w:t>4</w:t>
            </w:r>
            <w:r w:rsidR="00F84175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08F" w14:textId="314479EE" w:rsidR="00F84175" w:rsidRDefault="00626CBB" w:rsidP="00F84175">
            <w:proofErr w:type="spellStart"/>
            <w:r w:rsidRPr="00626CBB">
              <w:t>Samarghand</w:t>
            </w:r>
            <w:proofErr w:type="spellEnd"/>
            <w:r w:rsidRPr="00626CBB">
              <w:t xml:space="preserve"> </w:t>
            </w:r>
            <w:proofErr w:type="spellStart"/>
            <w:r w:rsidRPr="00626CBB">
              <w:t>Ebadi</w:t>
            </w:r>
            <w:proofErr w:type="spellEnd"/>
            <w:r w:rsidRPr="00626CBB">
              <w:t xml:space="preserve"> (GS54812).  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B3D" w14:textId="1E06DE7D" w:rsidR="00F84175" w:rsidRDefault="007B2F7D" w:rsidP="00F84175">
            <w:r w:rsidRPr="007B2F7D">
              <w:t xml:space="preserve">Effects of Antioxidant Sugar as Alternative Compared </w:t>
            </w:r>
            <w:r>
              <w:t>t</w:t>
            </w:r>
            <w:r w:rsidRPr="007B2F7D">
              <w:t xml:space="preserve">o Granulated Sugar </w:t>
            </w:r>
            <w:r>
              <w:t>o</w:t>
            </w:r>
            <w:r w:rsidRPr="007B2F7D">
              <w:t xml:space="preserve">n Gene Expression </w:t>
            </w:r>
            <w:r>
              <w:t>a</w:t>
            </w:r>
            <w:r w:rsidRPr="007B2F7D">
              <w:t xml:space="preserve">nd Other Metabolic Parameters </w:t>
            </w:r>
            <w:r>
              <w:t>i</w:t>
            </w:r>
            <w:r w:rsidRPr="007B2F7D">
              <w:t>n Healthy Subjects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354" w14:textId="5DBFB697" w:rsidR="00F84175" w:rsidRDefault="007B2F7D" w:rsidP="00F84175">
            <w:r>
              <w:t>Active</w:t>
            </w:r>
          </w:p>
        </w:tc>
      </w:tr>
      <w:tr w:rsidR="00F84175" w14:paraId="6596EE2E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529" w14:textId="758593B7" w:rsidR="00F84175" w:rsidRDefault="007B2F7D" w:rsidP="00F84175">
            <w:r>
              <w:t>5</w:t>
            </w:r>
            <w:r w:rsidR="00F84175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2EA" w14:textId="515D707A" w:rsidR="00F84175" w:rsidRDefault="00626CBB" w:rsidP="00F84175">
            <w:proofErr w:type="spellStart"/>
            <w:r w:rsidRPr="00626CBB">
              <w:t>Moath</w:t>
            </w:r>
            <w:proofErr w:type="spellEnd"/>
            <w:r w:rsidRPr="00626CBB">
              <w:t xml:space="preserve"> A. Al </w:t>
            </w:r>
            <w:proofErr w:type="spellStart"/>
            <w:r w:rsidRPr="00626CBB">
              <w:t>Rashed</w:t>
            </w:r>
            <w:proofErr w:type="spellEnd"/>
            <w:r w:rsidRPr="00626CBB">
              <w:t xml:space="preserve"> (GS50952)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FDC" w14:textId="78F45225" w:rsidR="00F84175" w:rsidRDefault="007B2F7D" w:rsidP="00F84175">
            <w:r w:rsidRPr="007B2F7D">
              <w:t>The Impact of intervention with a nutritional – Education Program on Knowledge and Practice of Female students aged 12- 14 in Riyadh Kingdom of Saudi Arabia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77E" w14:textId="10DC1F7B" w:rsidR="00F84175" w:rsidRDefault="007B2F7D" w:rsidP="00F84175">
            <w:r>
              <w:t>Active</w:t>
            </w:r>
          </w:p>
        </w:tc>
      </w:tr>
      <w:tr w:rsidR="00F84175" w14:paraId="677925E7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9A5" w14:textId="09FDAA0C" w:rsidR="00F84175" w:rsidRDefault="007B2F7D" w:rsidP="00F84175">
            <w:r>
              <w:t>6</w:t>
            </w:r>
            <w:r w:rsidR="00694425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E1A" w14:textId="40136FFD" w:rsidR="00F84175" w:rsidRDefault="00626CBB" w:rsidP="00F84175">
            <w:proofErr w:type="spellStart"/>
            <w:r w:rsidRPr="00626CBB">
              <w:t>Azliana</w:t>
            </w:r>
            <w:proofErr w:type="spellEnd"/>
            <w:r w:rsidRPr="00626CBB">
              <w:t xml:space="preserve"> Abu Bakar Sajak (GS50646</w:t>
            </w:r>
            <w:r w:rsidR="00031AE8">
              <w:t>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925" w14:textId="35347665" w:rsidR="00F84175" w:rsidRDefault="007B2F7D" w:rsidP="00F84175">
            <w:r w:rsidRPr="007B2F7D">
              <w:t xml:space="preserve">Cardioprotective Effect of Polyphenol Rich Mixture in </w:t>
            </w:r>
            <w:proofErr w:type="spellStart"/>
            <w:r w:rsidRPr="007B2F7D">
              <w:t>Hyperlipidemic</w:t>
            </w:r>
            <w:proofErr w:type="spellEnd"/>
            <w:r w:rsidRPr="007B2F7D">
              <w:t xml:space="preserve"> Rats with </w:t>
            </w:r>
            <w:proofErr w:type="spellStart"/>
            <w:r w:rsidRPr="007B2F7D">
              <w:t>Isoprotenerol</w:t>
            </w:r>
            <w:proofErr w:type="spellEnd"/>
            <w:r w:rsidRPr="007B2F7D">
              <w:t>-induced Myocardial Infarction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824" w14:textId="30D86578" w:rsidR="00F84175" w:rsidRDefault="007B2F7D" w:rsidP="00F84175">
            <w:r>
              <w:t>Active</w:t>
            </w:r>
          </w:p>
        </w:tc>
      </w:tr>
      <w:tr w:rsidR="00626CBB" w14:paraId="33DBEC89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40F" w14:textId="0CA98CE4" w:rsidR="00626CBB" w:rsidRDefault="007B2F7D" w:rsidP="00626CBB">
            <w:r>
              <w:t>7</w:t>
            </w:r>
            <w:r w:rsidR="00626CBB"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035" w14:textId="7652C06A" w:rsidR="00626CBB" w:rsidRPr="00626CBB" w:rsidRDefault="007B2F7D" w:rsidP="00F84175">
            <w:r w:rsidRPr="007B2F7D">
              <w:t xml:space="preserve">Noor </w:t>
            </w:r>
            <w:proofErr w:type="spellStart"/>
            <w:r w:rsidRPr="007B2F7D">
              <w:t>Atiqah</w:t>
            </w:r>
            <w:proofErr w:type="spellEnd"/>
            <w:r w:rsidRPr="007B2F7D">
              <w:t xml:space="preserve"> </w:t>
            </w:r>
            <w:proofErr w:type="spellStart"/>
            <w:r w:rsidRPr="007B2F7D">
              <w:t>Aizan</w:t>
            </w:r>
            <w:proofErr w:type="spellEnd"/>
            <w:r w:rsidRPr="007B2F7D">
              <w:t xml:space="preserve"> Abdul Kadir (GS46732)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54B" w14:textId="71673A1E" w:rsidR="00626CBB" w:rsidRDefault="007B2F7D" w:rsidP="00F84175">
            <w:r w:rsidRPr="007B2F7D">
              <w:t xml:space="preserve">Efficacy </w:t>
            </w:r>
            <w:r w:rsidR="00031AE8">
              <w:t>o</w:t>
            </w:r>
            <w:r w:rsidRPr="007B2F7D">
              <w:t xml:space="preserve">f Supercritical Carbon Dioxide Extracted </w:t>
            </w:r>
            <w:proofErr w:type="spellStart"/>
            <w:r w:rsidRPr="007B2F7D">
              <w:t>Dabai</w:t>
            </w:r>
            <w:proofErr w:type="spellEnd"/>
            <w:r w:rsidRPr="007B2F7D">
              <w:t xml:space="preserve"> Pulp Oil </w:t>
            </w:r>
            <w:r w:rsidR="006472BF">
              <w:t>a</w:t>
            </w:r>
            <w:r w:rsidRPr="007B2F7D">
              <w:t xml:space="preserve">nd Defatted </w:t>
            </w:r>
            <w:proofErr w:type="spellStart"/>
            <w:r w:rsidRPr="007B2F7D">
              <w:t>Dabai</w:t>
            </w:r>
            <w:proofErr w:type="spellEnd"/>
            <w:r w:rsidRPr="007B2F7D">
              <w:t xml:space="preserve"> Pulp </w:t>
            </w:r>
            <w:proofErr w:type="gramStart"/>
            <w:r w:rsidRPr="007B2F7D">
              <w:t>In</w:t>
            </w:r>
            <w:proofErr w:type="gramEnd"/>
            <w:r w:rsidRPr="007B2F7D">
              <w:t xml:space="preserve"> Specific Pathogen Free Sprague-Dawley Rats Fed A High Cholesterol Diet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F06" w14:textId="6DD826CC" w:rsidR="00626CBB" w:rsidRDefault="007B2F7D" w:rsidP="00F84175">
            <w:r>
              <w:t>Active</w:t>
            </w:r>
          </w:p>
        </w:tc>
      </w:tr>
      <w:tr w:rsidR="00F84175" w14:paraId="63E905ED" w14:textId="77777777" w:rsidTr="00031AE8"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ED2E" w14:textId="77777777" w:rsidR="00F84175" w:rsidRDefault="00F84175" w:rsidP="00F84175"/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AC484" w14:textId="77777777" w:rsidR="00F84175" w:rsidRDefault="00F84175" w:rsidP="00F84175"/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1EEBE" w14:textId="77777777" w:rsidR="00F84175" w:rsidRDefault="00F84175" w:rsidP="00F84175"/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0D35A" w14:textId="77777777" w:rsidR="00F84175" w:rsidRDefault="00F84175" w:rsidP="00F84175"/>
        </w:tc>
      </w:tr>
      <w:tr w:rsidR="00694425" w14:paraId="2D60F840" w14:textId="77777777" w:rsidTr="00694425">
        <w:tc>
          <w:tcPr>
            <w:tcW w:w="10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E83BF" w14:textId="0C4191EC" w:rsidR="00694425" w:rsidRPr="00694425" w:rsidRDefault="00694425" w:rsidP="00694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Master with Thesis (Main Supervisor)</w:t>
            </w:r>
          </w:p>
        </w:tc>
      </w:tr>
      <w:tr w:rsidR="00694425" w14:paraId="58015A87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07C20" w14:textId="6FC8F2F8" w:rsidR="00694425" w:rsidRPr="00694425" w:rsidRDefault="00694425" w:rsidP="00694425">
            <w:pPr>
              <w:rPr>
                <w:rFonts w:ascii="Arial" w:hAnsi="Arial" w:cs="Arial"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6BF68" w14:textId="008A5179" w:rsidR="00694425" w:rsidRPr="00694425" w:rsidRDefault="00694425" w:rsidP="00694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99BED" w14:textId="0E8E56DB" w:rsidR="00694425" w:rsidRPr="00694425" w:rsidRDefault="00694425" w:rsidP="00694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F8DD8" w14:textId="676C3D46" w:rsidR="00694425" w:rsidRPr="00694425" w:rsidRDefault="00694425" w:rsidP="00694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F84175" w14:paraId="7F2A6B94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CB0" w14:textId="3C5F7D3D" w:rsidR="00F84175" w:rsidRDefault="00F84175" w:rsidP="00626CB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824" w14:textId="56350C38" w:rsidR="00F84175" w:rsidRDefault="00031AE8" w:rsidP="00F84175">
            <w:r w:rsidRPr="00031AE8">
              <w:t xml:space="preserve">Nur </w:t>
            </w:r>
            <w:proofErr w:type="spellStart"/>
            <w:r w:rsidRPr="00031AE8">
              <w:t>Arina</w:t>
            </w:r>
            <w:proofErr w:type="spellEnd"/>
            <w:r w:rsidRPr="00031AE8">
              <w:t xml:space="preserve"> Ahmad Jelani (GS41152)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C80" w14:textId="00B4E42A" w:rsidR="00F84175" w:rsidRDefault="00031AE8" w:rsidP="00F84175">
            <w:r w:rsidRPr="00031AE8">
              <w:t xml:space="preserve">Evaluation of Supercritical Carbon Dioxide and Solvent Extractions on Fatty Acid Composition and Antioxidant Properties of </w:t>
            </w:r>
            <w:proofErr w:type="spellStart"/>
            <w:r w:rsidRPr="00031AE8">
              <w:t>Dabai</w:t>
            </w:r>
            <w:proofErr w:type="spellEnd"/>
            <w:r w:rsidRPr="00031AE8">
              <w:t xml:space="preserve"> Oil and Defatted Pulp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904" w14:textId="495503FC" w:rsidR="00F84175" w:rsidRDefault="001E404E" w:rsidP="00F84175">
            <w:r w:rsidRPr="001E404E">
              <w:t>Graduated</w:t>
            </w:r>
          </w:p>
        </w:tc>
      </w:tr>
      <w:tr w:rsidR="00F84175" w14:paraId="0A035F94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A02" w14:textId="150A8A09" w:rsidR="00F84175" w:rsidRDefault="00694425" w:rsidP="00F84175">
            <w:r>
              <w:lastRenderedPageBreak/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157" w14:textId="7D3595D6" w:rsidR="00F84175" w:rsidRDefault="00031AE8" w:rsidP="00F84175">
            <w:proofErr w:type="spellStart"/>
            <w:r w:rsidRPr="00031AE8">
              <w:t>Fatin</w:t>
            </w:r>
            <w:proofErr w:type="spellEnd"/>
            <w:r w:rsidRPr="00031AE8">
              <w:t xml:space="preserve"> Najwa Ramli (GS41151)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C71" w14:textId="0C4D3297" w:rsidR="00F84175" w:rsidRDefault="00031AE8" w:rsidP="00F84175">
            <w:r w:rsidRPr="00031AE8">
              <w:t>Effectiveness of saffron extract and crocin on metabolomic parameters of rats fed a high fat diet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9E" w14:textId="2412F426" w:rsidR="00F84175" w:rsidRDefault="001E404E" w:rsidP="00F84175">
            <w:r w:rsidRPr="001E404E">
              <w:t>Graduated</w:t>
            </w:r>
          </w:p>
        </w:tc>
      </w:tr>
      <w:tr w:rsidR="00F84175" w14:paraId="68F7CA49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7B0" w14:textId="287D651B" w:rsidR="00F84175" w:rsidRDefault="00F84175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A3F" w14:textId="08B0DE4D" w:rsidR="00F84175" w:rsidRDefault="00031AE8" w:rsidP="00F84175">
            <w:proofErr w:type="spellStart"/>
            <w:r w:rsidRPr="00031AE8">
              <w:t>Megat</w:t>
            </w:r>
            <w:proofErr w:type="spellEnd"/>
            <w:r w:rsidRPr="00031AE8">
              <w:t xml:space="preserve"> </w:t>
            </w:r>
            <w:proofErr w:type="spellStart"/>
            <w:r w:rsidRPr="00031AE8">
              <w:t>Rusydi</w:t>
            </w:r>
            <w:proofErr w:type="spellEnd"/>
            <w:r w:rsidRPr="00031AE8">
              <w:t xml:space="preserve"> </w:t>
            </w:r>
            <w:proofErr w:type="spellStart"/>
            <w:r w:rsidRPr="00031AE8">
              <w:t>Megat</w:t>
            </w:r>
            <w:proofErr w:type="spellEnd"/>
            <w:r w:rsidRPr="00031AE8">
              <w:t xml:space="preserve"> </w:t>
            </w:r>
            <w:proofErr w:type="spellStart"/>
            <w:r w:rsidRPr="00031AE8">
              <w:t>Radzi</w:t>
            </w:r>
            <w:proofErr w:type="spellEnd"/>
            <w:r w:rsidRPr="00031AE8">
              <w:t xml:space="preserve"> (GS28550)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E87" w14:textId="003FDDB2" w:rsidR="00F84175" w:rsidRDefault="006472BF" w:rsidP="00F84175">
            <w:r w:rsidRPr="006472BF">
              <w:t>Nutritional changes in germinated kidney, mung, soybean and peanut.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A24" w14:textId="7AECE2C5" w:rsidR="00F84175" w:rsidRDefault="001E404E" w:rsidP="00F84175">
            <w:r w:rsidRPr="001E404E">
              <w:t>Graduated</w:t>
            </w:r>
          </w:p>
        </w:tc>
      </w:tr>
      <w:tr w:rsidR="006472BF" w14:paraId="31CCAA35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037" w14:textId="77777777" w:rsidR="006472BF" w:rsidRDefault="006472BF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A97" w14:textId="044CEB9F" w:rsidR="006472BF" w:rsidRPr="00031AE8" w:rsidRDefault="006472BF" w:rsidP="00F84175">
            <w:r w:rsidRPr="006472BF">
              <w:t xml:space="preserve">Nurul </w:t>
            </w:r>
            <w:proofErr w:type="spellStart"/>
            <w:r w:rsidRPr="006472BF">
              <w:t>Nadiah</w:t>
            </w:r>
            <w:proofErr w:type="spellEnd"/>
            <w:r w:rsidRPr="006472BF">
              <w:t xml:space="preserve"> Binti Mohamad Nasir (GS22046)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02D" w14:textId="04B41E18" w:rsidR="006472BF" w:rsidRPr="006472BF" w:rsidRDefault="006472BF" w:rsidP="00F84175">
            <w:r w:rsidRPr="006472BF">
              <w:t xml:space="preserve">Levels of PCDs/PCDFs in Fish and Shellfish from Straits </w:t>
            </w:r>
            <w:r>
              <w:t>o</w:t>
            </w:r>
            <w:r w:rsidRPr="006472BF">
              <w:t>f Malacca and its association with prevalence of skin diseases among fishermen community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8B6" w14:textId="394A82F0" w:rsidR="006472BF" w:rsidRDefault="001E404E" w:rsidP="00F84175">
            <w:r w:rsidRPr="001E404E">
              <w:t>Graduated</w:t>
            </w:r>
          </w:p>
        </w:tc>
      </w:tr>
      <w:tr w:rsidR="006472BF" w14:paraId="6C0AEC7F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3605" w14:textId="77777777" w:rsidR="006472BF" w:rsidRDefault="006472BF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231" w14:textId="6C0597A2" w:rsidR="006472BF" w:rsidRPr="00031AE8" w:rsidRDefault="006472BF" w:rsidP="00F84175">
            <w:r w:rsidRPr="006472BF">
              <w:t>Alina Binti Mohamad (GS22621)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A5E" w14:textId="0F2F01F0" w:rsidR="006472BF" w:rsidRPr="006472BF" w:rsidRDefault="006472BF" w:rsidP="00F84175">
            <w:r w:rsidRPr="006472BF">
              <w:t>PCBs and Heavy metals in Fish and Shellfish, Dietary Exposure and Neurobehavioral Performance Among Malaysian Fishermen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674" w14:textId="1B10DC68" w:rsidR="006472BF" w:rsidRDefault="001E404E" w:rsidP="00F84175">
            <w:r w:rsidRPr="001E404E">
              <w:t>Graduated</w:t>
            </w:r>
          </w:p>
        </w:tc>
      </w:tr>
      <w:tr w:rsidR="006472BF" w14:paraId="513F3359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C69" w14:textId="77777777" w:rsidR="006472BF" w:rsidRDefault="006472BF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B50" w14:textId="59B76CD2" w:rsidR="006472BF" w:rsidRPr="00031AE8" w:rsidRDefault="006472BF" w:rsidP="00F84175">
            <w:proofErr w:type="spellStart"/>
            <w:r w:rsidRPr="006472BF">
              <w:t>Nurnadia</w:t>
            </w:r>
            <w:proofErr w:type="spellEnd"/>
            <w:r w:rsidRPr="006472BF">
              <w:t xml:space="preserve"> Binti Abd.</w:t>
            </w:r>
            <w:r>
              <w:t xml:space="preserve"> </w:t>
            </w:r>
            <w:r w:rsidRPr="006472BF">
              <w:t>Aziz (GS22600)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DBC" w14:textId="1F3FC9F5" w:rsidR="006472BF" w:rsidRPr="006472BF" w:rsidRDefault="006472BF" w:rsidP="00F84175">
            <w:r w:rsidRPr="006472BF">
              <w:t>Proximate, Fatty Acids, Cholesterol and Alpha-Tocopherol Contents in Selected Marine Fish and Shellfish from West Coast of Peninsular Malaysia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78A" w14:textId="3AD09885" w:rsidR="006472BF" w:rsidRDefault="001E404E" w:rsidP="00F84175">
            <w:r w:rsidRPr="001E404E">
              <w:t>Graduated</w:t>
            </w:r>
          </w:p>
        </w:tc>
      </w:tr>
      <w:tr w:rsidR="006472BF" w14:paraId="3C27CFC0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B68" w14:textId="77777777" w:rsidR="006472BF" w:rsidRDefault="006472BF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FBE" w14:textId="7559088B" w:rsidR="006472BF" w:rsidRPr="006472BF" w:rsidRDefault="006472BF" w:rsidP="00F84175">
            <w:proofErr w:type="spellStart"/>
            <w:r w:rsidRPr="006472BF">
              <w:t>Faridah</w:t>
            </w:r>
            <w:proofErr w:type="spellEnd"/>
            <w:r w:rsidRPr="006472BF">
              <w:t xml:space="preserve"> </w:t>
            </w:r>
            <w:proofErr w:type="spellStart"/>
            <w:r w:rsidRPr="006472BF">
              <w:t>Hanim</w:t>
            </w:r>
            <w:proofErr w:type="spellEnd"/>
            <w:r w:rsidRPr="006472BF">
              <w:t xml:space="preserve"> Binti </w:t>
            </w:r>
            <w:proofErr w:type="spellStart"/>
            <w:r w:rsidRPr="006472BF">
              <w:t>Shakirin</w:t>
            </w:r>
            <w:proofErr w:type="spellEnd"/>
            <w:r w:rsidRPr="006472BF">
              <w:t xml:space="preserve"> (GS18657)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97F" w14:textId="3BE14A5D" w:rsidR="006472BF" w:rsidRPr="006472BF" w:rsidRDefault="006472BF" w:rsidP="00F84175">
            <w:proofErr w:type="spellStart"/>
            <w:r w:rsidRPr="006472BF">
              <w:t>Hypocholesterolemic</w:t>
            </w:r>
            <w:proofErr w:type="spellEnd"/>
            <w:r w:rsidRPr="006472BF">
              <w:t xml:space="preserve"> Effects of </w:t>
            </w:r>
            <w:proofErr w:type="spellStart"/>
            <w:r w:rsidRPr="006472BF">
              <w:t>Canarium</w:t>
            </w:r>
            <w:proofErr w:type="spellEnd"/>
            <w:r w:rsidRPr="006472BF">
              <w:t xml:space="preserve"> </w:t>
            </w:r>
            <w:proofErr w:type="spellStart"/>
            <w:r w:rsidRPr="006472BF">
              <w:t>odonthophyllum</w:t>
            </w:r>
            <w:proofErr w:type="spellEnd"/>
            <w:r w:rsidRPr="006472BF">
              <w:t xml:space="preserve"> Linn. Fruit in Hypercholesterolemic-Induced Rabbits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F13" w14:textId="2DF6FFE7" w:rsidR="006472BF" w:rsidRDefault="001E404E" w:rsidP="00F84175">
            <w:r w:rsidRPr="001E404E">
              <w:t>Graduated</w:t>
            </w:r>
          </w:p>
        </w:tc>
      </w:tr>
      <w:tr w:rsidR="006472BF" w14:paraId="15574B42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643" w14:textId="77777777" w:rsidR="006472BF" w:rsidRDefault="006472BF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075" w14:textId="15F7D65B" w:rsidR="006472BF" w:rsidRPr="006472BF" w:rsidRDefault="001E404E" w:rsidP="00F84175">
            <w:r w:rsidRPr="001E404E">
              <w:t xml:space="preserve">Chan Suk </w:t>
            </w:r>
            <w:proofErr w:type="spellStart"/>
            <w:r w:rsidRPr="001E404E">
              <w:t>Huei</w:t>
            </w:r>
            <w:proofErr w:type="spellEnd"/>
            <w:r w:rsidRPr="001E404E">
              <w:t xml:space="preserve"> (GS45537)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A95" w14:textId="55EC11EB" w:rsidR="006472BF" w:rsidRPr="006472BF" w:rsidRDefault="00322915" w:rsidP="00F84175">
            <w:r w:rsidRPr="00322915">
              <w:t xml:space="preserve">Antioxidant </w:t>
            </w:r>
            <w:r>
              <w:t>a</w:t>
            </w:r>
            <w:r w:rsidRPr="00322915">
              <w:t xml:space="preserve">nd Anti-Obesity Properties </w:t>
            </w:r>
            <w:r>
              <w:t>o</w:t>
            </w:r>
            <w:r w:rsidRPr="00322915">
              <w:t>f Local Chilies Varieties (</w:t>
            </w:r>
            <w:proofErr w:type="spellStart"/>
            <w:r w:rsidRPr="00322915">
              <w:t>Cili</w:t>
            </w:r>
            <w:proofErr w:type="spellEnd"/>
            <w:r w:rsidRPr="00322915">
              <w:t xml:space="preserve"> </w:t>
            </w:r>
            <w:proofErr w:type="spellStart"/>
            <w:r w:rsidRPr="00322915">
              <w:t>Kulai</w:t>
            </w:r>
            <w:proofErr w:type="spellEnd"/>
            <w:r w:rsidRPr="00322915">
              <w:t xml:space="preserve"> 151,</w:t>
            </w:r>
            <w:r>
              <w:t xml:space="preserve"> </w:t>
            </w:r>
            <w:proofErr w:type="spellStart"/>
            <w:r w:rsidRPr="00322915">
              <w:t>Cili</w:t>
            </w:r>
            <w:proofErr w:type="spellEnd"/>
            <w:r w:rsidRPr="00322915">
              <w:t xml:space="preserve"> </w:t>
            </w:r>
            <w:proofErr w:type="spellStart"/>
            <w:r w:rsidRPr="00322915">
              <w:t>Kulai</w:t>
            </w:r>
            <w:proofErr w:type="spellEnd"/>
            <w:r w:rsidRPr="00322915">
              <w:t xml:space="preserve"> 568, </w:t>
            </w:r>
            <w:proofErr w:type="spellStart"/>
            <w:r w:rsidRPr="00322915">
              <w:t>Cili</w:t>
            </w:r>
            <w:proofErr w:type="spellEnd"/>
            <w:r w:rsidRPr="00322915">
              <w:t xml:space="preserve"> Bara, </w:t>
            </w:r>
            <w:proofErr w:type="spellStart"/>
            <w:r w:rsidRPr="00322915">
              <w:t>Cili</w:t>
            </w:r>
            <w:proofErr w:type="spellEnd"/>
            <w:r w:rsidRPr="00322915">
              <w:t xml:space="preserve"> </w:t>
            </w:r>
            <w:proofErr w:type="spellStart"/>
            <w:r w:rsidRPr="00322915">
              <w:t>Centil</w:t>
            </w:r>
            <w:proofErr w:type="spellEnd"/>
            <w:r w:rsidRPr="00322915">
              <w:t xml:space="preserve">, and </w:t>
            </w:r>
            <w:proofErr w:type="spellStart"/>
            <w:r w:rsidRPr="00322915">
              <w:t>Cili</w:t>
            </w:r>
            <w:proofErr w:type="spellEnd"/>
            <w:r w:rsidRPr="00322915">
              <w:t xml:space="preserve"> </w:t>
            </w:r>
            <w:proofErr w:type="spellStart"/>
            <w:r w:rsidRPr="00322915">
              <w:t>Pelita</w:t>
            </w:r>
            <w:proofErr w:type="spellEnd"/>
            <w:r w:rsidRPr="00322915">
              <w:t>) IN-VI</w:t>
            </w:r>
            <w:r>
              <w:t>T</w:t>
            </w:r>
            <w:r w:rsidRPr="00322915">
              <w:t>RO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632" w14:textId="3DA60620" w:rsidR="006472BF" w:rsidRDefault="001E404E" w:rsidP="00F84175">
            <w:r>
              <w:t>Graduated</w:t>
            </w:r>
          </w:p>
        </w:tc>
      </w:tr>
      <w:tr w:rsidR="001E404E" w14:paraId="1B98AAA9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62C" w14:textId="77777777" w:rsidR="001E404E" w:rsidRDefault="001E404E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6C0" w14:textId="544229EE" w:rsidR="001E404E" w:rsidRPr="001E404E" w:rsidRDefault="001E404E" w:rsidP="00F84175">
            <w:r w:rsidRPr="001E404E">
              <w:t xml:space="preserve">Nurul </w:t>
            </w:r>
            <w:proofErr w:type="spellStart"/>
            <w:r w:rsidRPr="001E404E">
              <w:t>Aznyda</w:t>
            </w:r>
            <w:proofErr w:type="spellEnd"/>
            <w:r w:rsidRPr="001E404E">
              <w:t xml:space="preserve"> </w:t>
            </w:r>
            <w:proofErr w:type="spellStart"/>
            <w:r w:rsidRPr="001E404E">
              <w:t>Noriza</w:t>
            </w:r>
            <w:proofErr w:type="spellEnd"/>
            <w:r w:rsidRPr="001E404E">
              <w:t xml:space="preserve"> (GS50837)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BD2" w14:textId="1DADE4F1" w:rsidR="001E404E" w:rsidRPr="006472BF" w:rsidRDefault="001E404E" w:rsidP="00F84175">
            <w:r w:rsidRPr="001E404E">
              <w:t>A fish-based diet intervention improves metabolic syndrome biomarkers in healthy adults: A randomized controlled cross-over trial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2F4" w14:textId="13F5DC26" w:rsidR="001E404E" w:rsidRDefault="001E404E" w:rsidP="00F84175">
            <w:r>
              <w:t>Active</w:t>
            </w:r>
          </w:p>
        </w:tc>
      </w:tr>
      <w:tr w:rsidR="001E404E" w14:paraId="094A6834" w14:textId="77777777" w:rsidTr="00322915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2DE" w14:textId="77777777" w:rsidR="001E404E" w:rsidRDefault="001E404E" w:rsidP="00031AE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0CD" w14:textId="5FE71F3F" w:rsidR="001E404E" w:rsidRPr="001E404E" w:rsidRDefault="001E404E" w:rsidP="00F84175">
            <w:r w:rsidRPr="001E404E">
              <w:t xml:space="preserve">Nur </w:t>
            </w:r>
            <w:proofErr w:type="spellStart"/>
            <w:r w:rsidRPr="001E404E">
              <w:t>Diyana</w:t>
            </w:r>
            <w:proofErr w:type="spellEnd"/>
            <w:r w:rsidRPr="001E404E">
              <w:t xml:space="preserve"> Abdul </w:t>
            </w:r>
            <w:proofErr w:type="spellStart"/>
            <w:r w:rsidRPr="001E404E">
              <w:t>Manap</w:t>
            </w:r>
            <w:proofErr w:type="spellEnd"/>
            <w:r w:rsidRPr="001E404E">
              <w:t xml:space="preserve"> (GS42428)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6E0" w14:textId="449A914D" w:rsidR="001E404E" w:rsidRPr="006472BF" w:rsidRDefault="001E404E" w:rsidP="00F84175">
            <w:r w:rsidRPr="001E404E">
              <w:t xml:space="preserve">Toxicity of Supercritical carbon Dioxide Extracted C-Heart Oil from </w:t>
            </w:r>
            <w:proofErr w:type="spellStart"/>
            <w:r w:rsidRPr="001E404E">
              <w:t>Dabai</w:t>
            </w:r>
            <w:proofErr w:type="spellEnd"/>
            <w:r w:rsidRPr="001E404E">
              <w:t xml:space="preserve"> Pulp on Body Weight, Biochemical, Haematological Profiles, Antioxidant Enzymes, Inflammatory Biomarkers, Liver and Histology of Rats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9B4" w14:textId="5C979230" w:rsidR="001E404E" w:rsidRDefault="001E404E" w:rsidP="00F84175">
            <w:r>
              <w:t>Active</w:t>
            </w:r>
          </w:p>
        </w:tc>
      </w:tr>
      <w:tr w:rsidR="00F84175" w14:paraId="361AD4D2" w14:textId="77777777" w:rsidTr="006472BF"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8501A" w14:textId="77777777" w:rsidR="00F84175" w:rsidRDefault="00F84175" w:rsidP="00F84175"/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5B969" w14:textId="77777777" w:rsidR="00F84175" w:rsidRDefault="00F84175" w:rsidP="00F84175"/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9AF5" w14:textId="77777777" w:rsidR="00F84175" w:rsidRDefault="00F84175" w:rsidP="00F84175"/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36A1E" w14:textId="77777777" w:rsidR="00F84175" w:rsidRDefault="00F84175" w:rsidP="00F84175"/>
        </w:tc>
      </w:tr>
      <w:tr w:rsidR="00F84175" w14:paraId="7EC2A7DD" w14:textId="77777777" w:rsidTr="00031AE8"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408D" w14:textId="77777777" w:rsidR="00F84175" w:rsidRDefault="00F84175" w:rsidP="00F84175"/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026E9" w14:textId="77777777" w:rsidR="00F84175" w:rsidRDefault="00F84175" w:rsidP="00F84175"/>
        </w:tc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16947" w14:textId="77777777" w:rsidR="00F84175" w:rsidRDefault="00F84175" w:rsidP="00F84175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77D9" w14:textId="77777777" w:rsidR="00F84175" w:rsidRDefault="00F84175" w:rsidP="00F84175"/>
        </w:tc>
      </w:tr>
      <w:tr w:rsidR="00694425" w:rsidRPr="00694425" w14:paraId="215928A7" w14:textId="77777777" w:rsidTr="00694425">
        <w:tc>
          <w:tcPr>
            <w:tcW w:w="10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51C3D" w14:textId="587F98B6" w:rsidR="00694425" w:rsidRPr="00694425" w:rsidRDefault="00694425" w:rsidP="00D2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Master with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Thesis (Main Supervisor)</w:t>
            </w:r>
          </w:p>
        </w:tc>
      </w:tr>
      <w:tr w:rsidR="00694425" w:rsidRPr="00694425" w14:paraId="1AD86C74" w14:textId="77777777" w:rsidTr="00A74E28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955FF" w14:textId="77777777" w:rsidR="00694425" w:rsidRPr="00694425" w:rsidRDefault="00694425" w:rsidP="00D21A44">
            <w:pPr>
              <w:rPr>
                <w:rFonts w:ascii="Arial" w:hAnsi="Arial" w:cs="Arial"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14D7" w14:textId="77777777" w:rsidR="00694425" w:rsidRPr="00694425" w:rsidRDefault="00694425" w:rsidP="00D21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6A07" w14:textId="77777777" w:rsidR="00694425" w:rsidRPr="00694425" w:rsidRDefault="00694425" w:rsidP="00D21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5401" w14:textId="77777777" w:rsidR="00694425" w:rsidRPr="00694425" w:rsidRDefault="00694425" w:rsidP="00D21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25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694425" w14:paraId="4409133F" w14:textId="77777777" w:rsidTr="00A74E28"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445C" w14:textId="0BECB7AA" w:rsidR="00694425" w:rsidRDefault="00694425" w:rsidP="00F84175">
            <w: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05589" w14:textId="0A7F0F8A" w:rsidR="00694425" w:rsidRDefault="00322915" w:rsidP="00F84175">
            <w:r>
              <w:t>Nil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59FC" w14:textId="455808B8" w:rsidR="00694425" w:rsidRDefault="00F46E37" w:rsidP="00F84175"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F03FF" w14:textId="5D534F83" w:rsidR="00694425" w:rsidRDefault="00F46E37" w:rsidP="00F84175">
            <w:r>
              <w:t>-</w:t>
            </w:r>
          </w:p>
        </w:tc>
      </w:tr>
      <w:tr w:rsidR="00694425" w14:paraId="44C9C734" w14:textId="77777777" w:rsidTr="00A74E28"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72296" w14:textId="4E5BF7A7" w:rsidR="00694425" w:rsidRDefault="00694425" w:rsidP="00F84175">
            <w: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6ACD5" w14:textId="06BABFAD" w:rsidR="00694425" w:rsidRDefault="00F46E37" w:rsidP="00F84175">
            <w:r>
              <w:t>Nil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14723" w14:textId="601E382B" w:rsidR="00694425" w:rsidRDefault="00F46E37" w:rsidP="00F84175"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2E8CD" w14:textId="025DB2D3" w:rsidR="00694425" w:rsidRDefault="00F46E37" w:rsidP="00F84175">
            <w:r>
              <w:t>-</w:t>
            </w:r>
          </w:p>
        </w:tc>
      </w:tr>
      <w:tr w:rsidR="00694425" w14:paraId="7217E826" w14:textId="77777777" w:rsidTr="00A74E28"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FC3A8" w14:textId="4CB53614" w:rsidR="00694425" w:rsidRDefault="00694425" w:rsidP="00F84175"/>
          <w:p w14:paraId="2B410F36" w14:textId="3A059FC9" w:rsidR="00626CBB" w:rsidRDefault="00626CBB" w:rsidP="00F84175"/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1522C" w14:textId="77777777" w:rsidR="00694425" w:rsidRDefault="00694425" w:rsidP="00F84175"/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A4DBB" w14:textId="77777777" w:rsidR="00694425" w:rsidRDefault="00694425" w:rsidP="00F84175"/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4E090" w14:textId="77777777" w:rsidR="00694425" w:rsidRDefault="00694425" w:rsidP="00F84175"/>
        </w:tc>
      </w:tr>
      <w:tr w:rsidR="00694425" w14:paraId="64EFD453" w14:textId="77777777" w:rsidTr="00A74E28">
        <w:tc>
          <w:tcPr>
            <w:tcW w:w="10054" w:type="dxa"/>
            <w:gridSpan w:val="7"/>
            <w:tcBorders>
              <w:top w:val="nil"/>
            </w:tcBorders>
            <w:shd w:val="clear" w:color="auto" w:fill="C00000"/>
          </w:tcPr>
          <w:p w14:paraId="7AAD49A9" w14:textId="206E0C10" w:rsidR="00694425" w:rsidRPr="00694425" w:rsidRDefault="00694425" w:rsidP="00694425">
            <w:pPr>
              <w:spacing w:line="227" w:lineRule="exact"/>
              <w:ind w:left="1093" w:right="1092"/>
              <w:jc w:val="center"/>
              <w:rPr>
                <w:rFonts w:ascii="Arial" w:hAnsi="Arial" w:cs="Arial"/>
                <w:b/>
                <w:sz w:val="20"/>
              </w:rPr>
            </w:pPr>
            <w:r w:rsidRPr="00694425">
              <w:rPr>
                <w:rFonts w:ascii="Arial" w:hAnsi="Arial" w:cs="Arial"/>
                <w:b/>
                <w:color w:val="FFFFFF"/>
                <w:sz w:val="20"/>
              </w:rPr>
              <w:t>Attended Seminars/</w:t>
            </w:r>
            <w:r w:rsidR="00955B9A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694425">
              <w:rPr>
                <w:rFonts w:ascii="Arial" w:hAnsi="Arial" w:cs="Arial"/>
                <w:b/>
                <w:color w:val="FFFFFF"/>
                <w:sz w:val="20"/>
              </w:rPr>
              <w:t>Workshops/</w:t>
            </w:r>
            <w:r w:rsidR="00955B9A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694425">
              <w:rPr>
                <w:rFonts w:ascii="Arial" w:hAnsi="Arial" w:cs="Arial"/>
                <w:b/>
                <w:color w:val="FFFFFF"/>
                <w:sz w:val="20"/>
              </w:rPr>
              <w:t>Forums both National and International</w:t>
            </w:r>
          </w:p>
        </w:tc>
      </w:tr>
      <w:tr w:rsidR="00694425" w14:paraId="1E44BFF6" w14:textId="77777777" w:rsidTr="00D21A44">
        <w:tc>
          <w:tcPr>
            <w:tcW w:w="10054" w:type="dxa"/>
            <w:gridSpan w:val="7"/>
            <w:shd w:val="clear" w:color="auto" w:fill="C00000"/>
          </w:tcPr>
          <w:p w14:paraId="44DAF062" w14:textId="77777777" w:rsidR="00694425" w:rsidRPr="00694425" w:rsidRDefault="00694425" w:rsidP="00694425">
            <w:pPr>
              <w:spacing w:line="227" w:lineRule="exact"/>
              <w:ind w:left="1093" w:right="1092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</w:tr>
      <w:tr w:rsidR="00694425" w14:paraId="71F29FB8" w14:textId="77777777" w:rsidTr="005B5B03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5EC6" w14:textId="77777777" w:rsidR="00694425" w:rsidRPr="00F84175" w:rsidRDefault="00694425" w:rsidP="00D21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DBDFA" w14:textId="77777777" w:rsidR="00694425" w:rsidRPr="00F84175" w:rsidRDefault="00694425" w:rsidP="00D21A44">
            <w:pPr>
              <w:pStyle w:val="TableParagraph"/>
              <w:spacing w:line="225" w:lineRule="exact"/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DF6D1" w14:textId="77777777" w:rsidR="00694425" w:rsidRPr="00F84175" w:rsidRDefault="00694425" w:rsidP="00D21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25EFB" w14:textId="6DD5AA74" w:rsidR="00694425" w:rsidRPr="00F84175" w:rsidRDefault="00694425" w:rsidP="00D21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Organizers</w:t>
            </w:r>
          </w:p>
        </w:tc>
      </w:tr>
      <w:tr w:rsidR="00694425" w14:paraId="6AEBBAAC" w14:textId="77777777" w:rsidTr="005B5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334" w14:textId="77777777" w:rsidR="00694425" w:rsidRDefault="00694425" w:rsidP="00D21A44">
            <w: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105" w14:textId="36185955" w:rsidR="00694425" w:rsidRDefault="005B5B03" w:rsidP="00D21A44">
            <w:r>
              <w:t>2019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053" w14:textId="5F27E9FE" w:rsidR="00694425" w:rsidRDefault="005B5B03" w:rsidP="00D21A44">
            <w:r w:rsidRPr="005B5B03">
              <w:t xml:space="preserve">Sugar Composition and In Vitro Glycaemic Response of Sugars, Rice Based Meals and Traditional </w:t>
            </w:r>
            <w:proofErr w:type="spellStart"/>
            <w:r w:rsidRPr="005B5B03">
              <w:t>Kuih</w:t>
            </w:r>
            <w:proofErr w:type="spellEnd"/>
            <w:r w:rsidRPr="005B5B03">
              <w:t>. Global Halal Sphere Conference 2019 (</w:t>
            </w:r>
            <w:proofErr w:type="spellStart"/>
            <w:r w:rsidRPr="005B5B03">
              <w:t>GloHas</w:t>
            </w:r>
            <w:proofErr w:type="spellEnd"/>
            <w:r w:rsidRPr="005B5B03">
              <w:t xml:space="preserve"> 2019)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C05" w14:textId="0D47D6EF" w:rsidR="00694425" w:rsidRDefault="005B5B03" w:rsidP="00D21A44">
            <w:r w:rsidRPr="005B5B03">
              <w:t>ISTAC-IIUM</w:t>
            </w:r>
          </w:p>
        </w:tc>
      </w:tr>
      <w:tr w:rsidR="00694425" w14:paraId="77839E3A" w14:textId="77777777" w:rsidTr="005B5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09" w14:textId="77777777" w:rsidR="00694425" w:rsidRDefault="00694425" w:rsidP="00D21A44">
            <w: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C87" w14:textId="7C30E0F2" w:rsidR="00694425" w:rsidRDefault="005B5B03" w:rsidP="00D21A44">
            <w:r>
              <w:t>2019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56B" w14:textId="08F5730A" w:rsidR="00694425" w:rsidRDefault="005B5B03" w:rsidP="00D21A44">
            <w:r w:rsidRPr="005B5B03">
              <w:t xml:space="preserve">Nutritional Quality and Sensory Evaluation of </w:t>
            </w:r>
            <w:proofErr w:type="spellStart"/>
            <w:r w:rsidRPr="005B5B03">
              <w:t>Dabai</w:t>
            </w:r>
            <w:proofErr w:type="spellEnd"/>
            <w:r w:rsidRPr="005B5B03">
              <w:t xml:space="preserve"> Chocolates. 2nd International Food Research Conference (IFRC 2019)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C6A" w14:textId="36DE9D63" w:rsidR="00694425" w:rsidRDefault="005B5B03" w:rsidP="00D21A44">
            <w:r>
              <w:t>FSTM, UPM</w:t>
            </w:r>
          </w:p>
        </w:tc>
      </w:tr>
      <w:tr w:rsidR="00694425" w14:paraId="0CBD333C" w14:textId="77777777" w:rsidTr="005B5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177" w14:textId="5547CFFE" w:rsidR="00694425" w:rsidRDefault="005B5B03" w:rsidP="00D21A44">
            <w: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897" w14:textId="7561DC19" w:rsidR="00694425" w:rsidRDefault="005B5B03" w:rsidP="00D21A44">
            <w:r>
              <w:t>2019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1D6" w14:textId="2DCC8CDC" w:rsidR="00694425" w:rsidRDefault="005B5B03" w:rsidP="00D21A44">
            <w:r w:rsidRPr="005B5B03">
              <w:t xml:space="preserve">Effect of Roasting on Oxidative Stability and Antioxidant Properties of </w:t>
            </w:r>
            <w:proofErr w:type="spellStart"/>
            <w:r w:rsidRPr="005B5B03">
              <w:t>Dabai</w:t>
            </w:r>
            <w:proofErr w:type="spellEnd"/>
            <w:r w:rsidRPr="005B5B03">
              <w:t xml:space="preserve"> Kernel Fat.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570" w14:textId="36C4412C" w:rsidR="00694425" w:rsidRDefault="005B5B03" w:rsidP="00D21A44">
            <w:r w:rsidRPr="005B5B03">
              <w:t>IBA-</w:t>
            </w:r>
            <w:proofErr w:type="spellStart"/>
            <w:r w:rsidRPr="005B5B03">
              <w:t>IFIBiop</w:t>
            </w:r>
            <w:proofErr w:type="spellEnd"/>
            <w:r w:rsidRPr="005B5B03">
              <w:t xml:space="preserve"> 2019</w:t>
            </w:r>
          </w:p>
        </w:tc>
      </w:tr>
      <w:tr w:rsidR="00694425" w14:paraId="59ABE2BC" w14:textId="77777777" w:rsidTr="005B5B03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52353" w14:textId="77777777" w:rsidR="00694425" w:rsidRDefault="00694425" w:rsidP="00D21A44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8F00E" w14:textId="77777777" w:rsidR="00694425" w:rsidRDefault="00694425" w:rsidP="00D21A44"/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E3F2C" w14:textId="77777777" w:rsidR="00694425" w:rsidRDefault="00694425" w:rsidP="00D21A44"/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A5F03" w14:textId="77777777" w:rsidR="00694425" w:rsidRDefault="00694425" w:rsidP="00D21A44"/>
        </w:tc>
      </w:tr>
    </w:tbl>
    <w:p w14:paraId="1F6688BB" w14:textId="2D9C1B6F" w:rsidR="00F84175" w:rsidRDefault="00F84175" w:rsidP="00AA4429"/>
    <w:p w14:paraId="58D5337C" w14:textId="04CFF0D5" w:rsidR="0045431B" w:rsidRDefault="0045431B" w:rsidP="00AA4429"/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562"/>
        <w:gridCol w:w="1323"/>
        <w:gridCol w:w="2700"/>
        <w:gridCol w:w="5469"/>
      </w:tblGrid>
      <w:tr w:rsidR="00694425" w14:paraId="6981A547" w14:textId="77777777" w:rsidTr="00D21A44">
        <w:tc>
          <w:tcPr>
            <w:tcW w:w="10054" w:type="dxa"/>
            <w:gridSpan w:val="4"/>
            <w:shd w:val="clear" w:color="auto" w:fill="C00000"/>
          </w:tcPr>
          <w:p w14:paraId="6B9FB8CE" w14:textId="4558F596" w:rsidR="00694425" w:rsidRPr="00694425" w:rsidRDefault="00955B9A" w:rsidP="00694425">
            <w:pPr>
              <w:spacing w:line="225" w:lineRule="exact"/>
              <w:ind w:left="1093" w:right="1080"/>
              <w:jc w:val="center"/>
              <w:rPr>
                <w:rFonts w:ascii="Arial" w:hAnsi="Arial" w:cs="Arial"/>
                <w:b/>
                <w:sz w:val="20"/>
              </w:rPr>
            </w:pPr>
            <w:r w:rsidRPr="00694425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Intellectuals</w:t>
            </w:r>
            <w:r w:rsidR="00694425" w:rsidRPr="00694425">
              <w:rPr>
                <w:rFonts w:ascii="Arial" w:hAnsi="Arial" w:cs="Arial"/>
                <w:b/>
                <w:color w:val="FFFFFF"/>
                <w:sz w:val="20"/>
              </w:rPr>
              <w:t xml:space="preserve"> Property</w:t>
            </w:r>
          </w:p>
        </w:tc>
      </w:tr>
      <w:tr w:rsidR="00694425" w14:paraId="463F7F2D" w14:textId="77777777" w:rsidTr="00694425">
        <w:tc>
          <w:tcPr>
            <w:tcW w:w="10054" w:type="dxa"/>
            <w:gridSpan w:val="4"/>
            <w:shd w:val="clear" w:color="auto" w:fill="D9D9D9" w:themeFill="background1" w:themeFillShade="D9"/>
            <w:vAlign w:val="center"/>
          </w:tcPr>
          <w:p w14:paraId="2DD101D1" w14:textId="14B37C3E" w:rsidR="00694425" w:rsidRPr="00F84175" w:rsidRDefault="00694425" w:rsidP="00D21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Patent Granted</w:t>
            </w:r>
          </w:p>
        </w:tc>
      </w:tr>
      <w:tr w:rsidR="00694425" w14:paraId="4E11F3DB" w14:textId="77777777" w:rsidTr="00371906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6974C" w14:textId="5BE05AD3" w:rsidR="00694425" w:rsidRPr="00F84175" w:rsidRDefault="00694425" w:rsidP="00694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70305" w14:textId="67B815BF" w:rsidR="00694425" w:rsidRDefault="00694425" w:rsidP="00694425">
            <w:pPr>
              <w:pStyle w:val="TableParagraph"/>
              <w:spacing w:line="225" w:lineRule="exact"/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BAA70" w14:textId="4950F21A" w:rsidR="00694425" w:rsidRDefault="00694425" w:rsidP="00694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Patent No.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6596F" w14:textId="6475A936" w:rsidR="00694425" w:rsidRDefault="00694425" w:rsidP="00694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694425" w14:paraId="14B40E70" w14:textId="77777777" w:rsidTr="0037190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A96F" w14:textId="77777777" w:rsidR="00694425" w:rsidRDefault="00694425" w:rsidP="00694425">
            <w:r>
              <w:t>1.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6B0C3" w14:textId="09C6E878" w:rsidR="00694425" w:rsidRDefault="00322915" w:rsidP="00694425">
            <w:r>
              <w:t>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7ED7A" w14:textId="7DC9FA01" w:rsidR="00694425" w:rsidRDefault="00322915" w:rsidP="00694425">
            <w:r w:rsidRPr="00322915">
              <w:t>MY-161569-A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E237C" w14:textId="3EEF64DF" w:rsidR="00694425" w:rsidRDefault="00322915" w:rsidP="00694425">
            <w:r w:rsidRPr="00322915">
              <w:t>A Method of Maintaining Healthy Blood Cholesterol Levels and Improvement of Antioxidant Status</w:t>
            </w:r>
          </w:p>
        </w:tc>
      </w:tr>
      <w:tr w:rsidR="00694425" w14:paraId="323ACE50" w14:textId="77777777" w:rsidTr="0037190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A8F9D" w14:textId="77777777" w:rsidR="00694425" w:rsidRDefault="00694425" w:rsidP="00694425">
            <w:r>
              <w:t>2.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6B53" w14:textId="6E8135A9" w:rsidR="00694425" w:rsidRDefault="00322915" w:rsidP="00694425">
            <w:r>
              <w:t>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64191" w14:textId="5F7DE002" w:rsidR="00694425" w:rsidRDefault="00322915" w:rsidP="00694425">
            <w:r w:rsidRPr="00322915">
              <w:t>MY-161663-A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E3F9A" w14:textId="0A434A18" w:rsidR="00694425" w:rsidRDefault="00322915" w:rsidP="00694425">
            <w:r w:rsidRPr="00322915">
              <w:t>A Vegetable Oil and/ Or Fats</w:t>
            </w:r>
          </w:p>
        </w:tc>
      </w:tr>
      <w:tr w:rsidR="00322915" w14:paraId="3B934B7B" w14:textId="77777777" w:rsidTr="0037190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6D20" w14:textId="3FD5ED5D" w:rsidR="00322915" w:rsidRDefault="00322915" w:rsidP="00322915">
            <w:r>
              <w:t>3.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13279" w14:textId="7DB1FF6A" w:rsidR="00322915" w:rsidRDefault="00F46E37" w:rsidP="00694425">
            <w: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A4199" w14:textId="77777777" w:rsidR="00322915" w:rsidRDefault="00322915" w:rsidP="00694425"/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344CD" w14:textId="2D7A0EE4" w:rsidR="00322915" w:rsidRDefault="00F46E37" w:rsidP="00694425">
            <w:proofErr w:type="spellStart"/>
            <w:r w:rsidRPr="00F46E37">
              <w:t>Hypocholesterolemic</w:t>
            </w:r>
            <w:proofErr w:type="spellEnd"/>
            <w:r w:rsidRPr="00F46E37">
              <w:t xml:space="preserve"> Nutraceutical Oil</w:t>
            </w:r>
          </w:p>
        </w:tc>
      </w:tr>
      <w:tr w:rsidR="00322915" w14:paraId="7275468A" w14:textId="77777777" w:rsidTr="0037190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6D59C" w14:textId="2CF20FBF" w:rsidR="00322915" w:rsidRDefault="007204F9" w:rsidP="00694425">
            <w:r>
              <w:t>4.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DB0B8" w14:textId="4B727AAD" w:rsidR="00322915" w:rsidRDefault="007204F9" w:rsidP="00694425">
            <w:r>
              <w:t>2010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13DA9" w14:textId="381A8A19" w:rsidR="00322915" w:rsidRDefault="007204F9" w:rsidP="00694425">
            <w:r w:rsidRPr="007204F9">
              <w:t>2010023314 for Class 30 (Malaysia). 10 years – 06/12/2010-06/12/2020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76CC9" w14:textId="38554621" w:rsidR="00322915" w:rsidRDefault="007204F9" w:rsidP="00694425">
            <w:r w:rsidRPr="007204F9">
              <w:t>C-Heart (healthy life</w:t>
            </w:r>
            <w:r>
              <w:t xml:space="preserve">)- Trademark- </w:t>
            </w:r>
          </w:p>
        </w:tc>
      </w:tr>
      <w:tr w:rsidR="00694425" w14:paraId="3775ADFB" w14:textId="77777777" w:rsidTr="0037190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27FCE" w14:textId="77777777" w:rsidR="00694425" w:rsidRDefault="00694425" w:rsidP="00694425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DC3FF" w14:textId="77777777" w:rsidR="00694425" w:rsidRDefault="00694425" w:rsidP="00694425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4F662" w14:textId="77777777" w:rsidR="00694425" w:rsidRDefault="00694425" w:rsidP="00694425"/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D0B42" w14:textId="77777777" w:rsidR="00694425" w:rsidRDefault="00694425" w:rsidP="00694425"/>
        </w:tc>
      </w:tr>
      <w:tr w:rsidR="00694425" w:rsidRPr="00F84175" w14:paraId="446B02CD" w14:textId="77777777" w:rsidTr="00007D27">
        <w:tc>
          <w:tcPr>
            <w:tcW w:w="1005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8DA49" w14:textId="769C2079" w:rsidR="00694425" w:rsidRPr="00F84175" w:rsidRDefault="00694425" w:rsidP="00D21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Patent </w:t>
            </w:r>
            <w:r w:rsidR="00007D27">
              <w:rPr>
                <w:rFonts w:ascii="Arial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694425" w14:paraId="7A9DA021" w14:textId="77777777" w:rsidTr="00371906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5BF8" w14:textId="77777777" w:rsidR="00694425" w:rsidRPr="00F84175" w:rsidRDefault="00694425" w:rsidP="00D21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17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02FB5" w14:textId="77777777" w:rsidR="00694425" w:rsidRDefault="00694425" w:rsidP="00D21A44">
            <w:pPr>
              <w:pStyle w:val="TableParagraph"/>
              <w:spacing w:line="225" w:lineRule="exact"/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2FAD6" w14:textId="77777777" w:rsidR="00694425" w:rsidRDefault="00694425" w:rsidP="00D21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Patent No.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DB38B" w14:textId="77777777" w:rsidR="00694425" w:rsidRDefault="00694425" w:rsidP="00D21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7204F9" w14:paraId="14013EC3" w14:textId="77777777" w:rsidTr="00371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934" w14:textId="544FE1E1" w:rsidR="007204F9" w:rsidRDefault="007204F9" w:rsidP="007204F9">
            <w:r>
              <w:t>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39E" w14:textId="376DFDB0" w:rsidR="007204F9" w:rsidRDefault="007204F9" w:rsidP="007204F9">
            <w:r>
              <w:t>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B89" w14:textId="11AA2C5F" w:rsidR="007204F9" w:rsidRDefault="007204F9" w:rsidP="007204F9">
            <w:r w:rsidRPr="007204F9">
              <w:t>PI 2010 005584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96A" w14:textId="4874ED69" w:rsidR="007204F9" w:rsidRDefault="007204F9" w:rsidP="007204F9">
            <w:r w:rsidRPr="007204F9">
              <w:t>An Edible Oil as Cocoa Butter Substitute for Maintaining Healthy Blood Cholesterol Levels and Improvement of Antioxidant Status</w:t>
            </w:r>
          </w:p>
        </w:tc>
      </w:tr>
      <w:tr w:rsidR="007204F9" w14:paraId="05B2C8A8" w14:textId="77777777" w:rsidTr="00371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DDC" w14:textId="700679C9" w:rsidR="007204F9" w:rsidRDefault="007204F9" w:rsidP="007204F9">
            <w:r>
              <w:t>2.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B2F" w14:textId="72A69776" w:rsidR="007204F9" w:rsidRDefault="007204F9" w:rsidP="007204F9">
            <w: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EA2" w14:textId="3F58703E" w:rsidR="007204F9" w:rsidRDefault="00947BD1" w:rsidP="007204F9">
            <w:r>
              <w:t>PI 2018703283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E69" w14:textId="7C0D82B9" w:rsidR="007204F9" w:rsidRDefault="007204F9" w:rsidP="007204F9">
            <w:proofErr w:type="spellStart"/>
            <w:r w:rsidRPr="007204F9">
              <w:t>NutCracker</w:t>
            </w:r>
            <w:proofErr w:type="spellEnd"/>
          </w:p>
        </w:tc>
      </w:tr>
      <w:tr w:rsidR="00694425" w14:paraId="07B73F85" w14:textId="77777777" w:rsidTr="00371906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88596" w14:textId="77777777" w:rsidR="00694425" w:rsidRDefault="00694425" w:rsidP="00694425"/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999F1" w14:textId="77777777" w:rsidR="00694425" w:rsidRDefault="00694425" w:rsidP="00694425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39334" w14:textId="77777777" w:rsidR="00694425" w:rsidRDefault="00694425" w:rsidP="00694425"/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33E3C" w14:textId="77777777" w:rsidR="00694425" w:rsidRDefault="00694425" w:rsidP="00694425"/>
        </w:tc>
      </w:tr>
      <w:tr w:rsidR="00694425" w14:paraId="02164886" w14:textId="77777777" w:rsidTr="0037190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0C7BE1" w14:textId="77777777" w:rsidR="00694425" w:rsidRDefault="00694425" w:rsidP="00694425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5F920CF" w14:textId="77777777" w:rsidR="00694425" w:rsidRDefault="00694425" w:rsidP="0069442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6C7645" w14:textId="77777777" w:rsidR="00694425" w:rsidRDefault="00694425" w:rsidP="00694425"/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14:paraId="19022370" w14:textId="77777777" w:rsidR="00694425" w:rsidRDefault="00694425" w:rsidP="00694425"/>
        </w:tc>
      </w:tr>
      <w:tr w:rsidR="00694425" w14:paraId="6251A3A8" w14:textId="77777777" w:rsidTr="0037190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E8DF13" w14:textId="77777777" w:rsidR="00694425" w:rsidRDefault="00694425" w:rsidP="00694425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FC29DB2" w14:textId="77777777" w:rsidR="00694425" w:rsidRDefault="00694425" w:rsidP="0069442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286C37" w14:textId="77777777" w:rsidR="00694425" w:rsidRDefault="00694425" w:rsidP="00694425"/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14:paraId="11CC3673" w14:textId="77777777" w:rsidR="00694425" w:rsidRDefault="00694425" w:rsidP="00694425"/>
        </w:tc>
      </w:tr>
      <w:tr w:rsidR="00694425" w14:paraId="59359B34" w14:textId="77777777" w:rsidTr="0037190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00419D" w14:textId="77777777" w:rsidR="00694425" w:rsidRDefault="00694425" w:rsidP="00694425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1E21F38" w14:textId="77777777" w:rsidR="00694425" w:rsidRDefault="00694425" w:rsidP="0069442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D4727F" w14:textId="77777777" w:rsidR="00694425" w:rsidRDefault="00694425" w:rsidP="00694425"/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14:paraId="53395318" w14:textId="77777777" w:rsidR="00694425" w:rsidRDefault="00694425" w:rsidP="00694425"/>
        </w:tc>
      </w:tr>
    </w:tbl>
    <w:p w14:paraId="320B03DB" w14:textId="77777777" w:rsidR="00694425" w:rsidRDefault="00694425" w:rsidP="00AA4429"/>
    <w:sectPr w:rsidR="00694425" w:rsidSect="00AA4429">
      <w:headerReference w:type="default" r:id="rId8"/>
      <w:footerReference w:type="default" r:id="rId9"/>
      <w:pgSz w:w="11906" w:h="16838"/>
      <w:pgMar w:top="1440" w:right="849" w:bottom="1440" w:left="993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3272" w14:textId="77777777" w:rsidR="001478DA" w:rsidRDefault="001478DA" w:rsidP="00A11759">
      <w:pPr>
        <w:spacing w:after="0" w:line="240" w:lineRule="auto"/>
      </w:pPr>
      <w:r>
        <w:separator/>
      </w:r>
    </w:p>
  </w:endnote>
  <w:endnote w:type="continuationSeparator" w:id="0">
    <w:p w14:paraId="1573A764" w14:textId="77777777" w:rsidR="001478DA" w:rsidRDefault="001478DA" w:rsidP="00A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4483" w14:textId="7C375CDE" w:rsidR="00AA4429" w:rsidRPr="00007D27" w:rsidRDefault="00AA4429" w:rsidP="00AA4429">
    <w:pPr>
      <w:pStyle w:val="Footer"/>
      <w:jc w:val="right"/>
      <w:rPr>
        <w:i/>
        <w:iCs/>
        <w:color w:val="FF0000"/>
      </w:rPr>
    </w:pPr>
    <w:r w:rsidRPr="00007D27">
      <w:rPr>
        <w:i/>
        <w:iCs/>
        <w:color w:val="FF0000"/>
      </w:rPr>
      <w:t>Update on</w:t>
    </w:r>
    <w:r w:rsidR="00A74E28">
      <w:rPr>
        <w:i/>
        <w:iCs/>
        <w:color w:val="FF0000"/>
      </w:rPr>
      <w:t xml:space="preserve"> 15 July </w:t>
    </w:r>
    <w:r w:rsidRPr="00007D27">
      <w:rPr>
        <w:i/>
        <w:iCs/>
        <w:color w:val="FF000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9197" w14:textId="77777777" w:rsidR="001478DA" w:rsidRDefault="001478DA" w:rsidP="00A11759">
      <w:pPr>
        <w:spacing w:after="0" w:line="240" w:lineRule="auto"/>
      </w:pPr>
      <w:r>
        <w:separator/>
      </w:r>
    </w:p>
  </w:footnote>
  <w:footnote w:type="continuationSeparator" w:id="0">
    <w:p w14:paraId="62903D82" w14:textId="77777777" w:rsidR="001478DA" w:rsidRDefault="001478DA" w:rsidP="00A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D617" w14:textId="262A47EB" w:rsidR="00A11759" w:rsidRDefault="00A11759">
    <w:pPr>
      <w:pStyle w:val="Header"/>
    </w:pPr>
    <w:r w:rsidRPr="00A11759">
      <w:rPr>
        <w:rFonts w:ascii="Arial" w:eastAsia="Arial" w:hAnsi="Arial" w:cs="Arial"/>
        <w:noProof/>
        <w:lang w:val="en-US" w:bidi="en-US"/>
      </w:rPr>
      <w:drawing>
        <wp:anchor distT="0" distB="0" distL="0" distR="0" simplePos="0" relativeHeight="251659264" behindDoc="1" locked="0" layoutInCell="1" allowOverlap="1" wp14:anchorId="3F15D039" wp14:editId="778A2F38">
          <wp:simplePos x="0" y="0"/>
          <wp:positionH relativeFrom="page">
            <wp:posOffset>3095625</wp:posOffset>
          </wp:positionH>
          <wp:positionV relativeFrom="page">
            <wp:posOffset>229870</wp:posOffset>
          </wp:positionV>
          <wp:extent cx="1190243" cy="551638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243" cy="551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4AE"/>
    <w:multiLevelType w:val="hybridMultilevel"/>
    <w:tmpl w:val="490A7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E1E9D"/>
    <w:multiLevelType w:val="hybridMultilevel"/>
    <w:tmpl w:val="BAEA4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3EF6"/>
    <w:multiLevelType w:val="hybridMultilevel"/>
    <w:tmpl w:val="E9E47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26FE2"/>
    <w:multiLevelType w:val="hybridMultilevel"/>
    <w:tmpl w:val="E6AC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35D58"/>
    <w:multiLevelType w:val="hybridMultilevel"/>
    <w:tmpl w:val="04A22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B2508"/>
    <w:multiLevelType w:val="hybridMultilevel"/>
    <w:tmpl w:val="2D78D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57EC5"/>
    <w:multiLevelType w:val="hybridMultilevel"/>
    <w:tmpl w:val="67C6A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C150A"/>
    <w:multiLevelType w:val="hybridMultilevel"/>
    <w:tmpl w:val="F5D20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7050"/>
    <w:multiLevelType w:val="hybridMultilevel"/>
    <w:tmpl w:val="07A82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B4F01"/>
    <w:multiLevelType w:val="hybridMultilevel"/>
    <w:tmpl w:val="20E6A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9E401F"/>
    <w:multiLevelType w:val="hybridMultilevel"/>
    <w:tmpl w:val="C33A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2740A3"/>
    <w:multiLevelType w:val="hybridMultilevel"/>
    <w:tmpl w:val="68C60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E20F91"/>
    <w:multiLevelType w:val="hybridMultilevel"/>
    <w:tmpl w:val="2E60A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9"/>
    <w:rsid w:val="00007D27"/>
    <w:rsid w:val="00031AE8"/>
    <w:rsid w:val="000E0300"/>
    <w:rsid w:val="000F71DF"/>
    <w:rsid w:val="001478DA"/>
    <w:rsid w:val="00167CC5"/>
    <w:rsid w:val="001E404E"/>
    <w:rsid w:val="00322915"/>
    <w:rsid w:val="00346B71"/>
    <w:rsid w:val="00371906"/>
    <w:rsid w:val="00390899"/>
    <w:rsid w:val="003D6248"/>
    <w:rsid w:val="0045431B"/>
    <w:rsid w:val="004B021E"/>
    <w:rsid w:val="005B5B03"/>
    <w:rsid w:val="00626CBB"/>
    <w:rsid w:val="006472BF"/>
    <w:rsid w:val="00694425"/>
    <w:rsid w:val="00703B79"/>
    <w:rsid w:val="007204F9"/>
    <w:rsid w:val="007A3123"/>
    <w:rsid w:val="007B2F7D"/>
    <w:rsid w:val="007C62D4"/>
    <w:rsid w:val="00912960"/>
    <w:rsid w:val="00947BD1"/>
    <w:rsid w:val="00955B9A"/>
    <w:rsid w:val="00A11759"/>
    <w:rsid w:val="00A458F9"/>
    <w:rsid w:val="00A65022"/>
    <w:rsid w:val="00A7151A"/>
    <w:rsid w:val="00A74E28"/>
    <w:rsid w:val="00AA4429"/>
    <w:rsid w:val="00AF7750"/>
    <w:rsid w:val="00B22263"/>
    <w:rsid w:val="00BC0E16"/>
    <w:rsid w:val="00CC318C"/>
    <w:rsid w:val="00CD1EAB"/>
    <w:rsid w:val="00D10154"/>
    <w:rsid w:val="00D33B88"/>
    <w:rsid w:val="00D55694"/>
    <w:rsid w:val="00D606F6"/>
    <w:rsid w:val="00E57A3D"/>
    <w:rsid w:val="00E96351"/>
    <w:rsid w:val="00F46E37"/>
    <w:rsid w:val="00F8417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BD1CF"/>
  <w15:chartTrackingRefBased/>
  <w15:docId w15:val="{F7AB231F-6116-447A-9FF3-5653DC7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59"/>
  </w:style>
  <w:style w:type="paragraph" w:styleId="Footer">
    <w:name w:val="footer"/>
    <w:basedOn w:val="Normal"/>
    <w:link w:val="FooterChar"/>
    <w:uiPriority w:val="99"/>
    <w:unhideWhenUsed/>
    <w:rsid w:val="00A1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59"/>
  </w:style>
  <w:style w:type="table" w:styleId="TableGrid">
    <w:name w:val="Table Grid"/>
    <w:basedOn w:val="TableNormal"/>
    <w:uiPriority w:val="39"/>
    <w:rsid w:val="00A1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41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34"/>
    <w:qFormat/>
    <w:rsid w:val="00167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TAUFIK BIN RAHMAT</dc:creator>
  <cp:keywords/>
  <dc:description/>
  <cp:lastModifiedBy>Syafiqah Rahamat</cp:lastModifiedBy>
  <cp:revision>2</cp:revision>
  <dcterms:created xsi:type="dcterms:W3CDTF">2020-07-22T00:21:00Z</dcterms:created>
  <dcterms:modified xsi:type="dcterms:W3CDTF">2020-07-22T00:21:00Z</dcterms:modified>
</cp:coreProperties>
</file>